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2" w:type="dxa"/>
        <w:tblLook w:val="00A0" w:firstRow="1" w:lastRow="0" w:firstColumn="1" w:lastColumn="0" w:noHBand="0" w:noVBand="0"/>
      </w:tblPr>
      <w:tblGrid>
        <w:gridCol w:w="3402"/>
        <w:gridCol w:w="6160"/>
      </w:tblGrid>
      <w:tr w:rsidR="005137CD">
        <w:trPr>
          <w:trHeight w:val="1486"/>
        </w:trPr>
        <w:tc>
          <w:tcPr>
            <w:tcW w:w="3402" w:type="dxa"/>
            <w:tcBorders>
              <w:top w:val="none" w:sz="0" w:space="0" w:color="000000"/>
              <w:left w:val="none" w:sz="0" w:space="0" w:color="000000"/>
              <w:bottom w:val="none" w:sz="0" w:space="0" w:color="000000"/>
              <w:right w:val="none" w:sz="0" w:space="0" w:color="000000"/>
            </w:tcBorders>
          </w:tcPr>
          <w:p w:rsidR="005137CD" w:rsidRDefault="006543D0">
            <w:pPr>
              <w:pBdr>
                <w:top w:val="none" w:sz="0" w:space="0" w:color="000000"/>
                <w:left w:val="none" w:sz="0" w:space="0" w:color="000000"/>
                <w:bottom w:val="none" w:sz="0" w:space="0" w:color="000000"/>
                <w:right w:val="none" w:sz="0" w:space="0" w:color="000000"/>
                <w:between w:val="none" w:sz="0" w:space="0" w:color="000000"/>
              </w:pBdr>
              <w:jc w:val="center"/>
              <w:rPr>
                <w:b/>
                <w:bCs/>
                <w:iCs/>
                <w:sz w:val="26"/>
                <w:szCs w:val="26"/>
              </w:rPr>
            </w:pPr>
            <w:bookmarkStart w:id="0" w:name="_GoBack"/>
            <w:bookmarkEnd w:id="0"/>
            <w:r>
              <w:rPr>
                <w:b/>
                <w:bCs/>
                <w:iCs/>
                <w:sz w:val="26"/>
                <w:szCs w:val="26"/>
              </w:rPr>
              <w:t>ỦY BAN NHÂN DÂN</w:t>
            </w:r>
          </w:p>
          <w:p w:rsidR="005137CD" w:rsidRDefault="006543D0">
            <w:pPr>
              <w:pBdr>
                <w:top w:val="none" w:sz="0" w:space="0" w:color="000000"/>
                <w:left w:val="none" w:sz="0" w:space="0" w:color="000000"/>
                <w:bottom w:val="none" w:sz="0" w:space="0" w:color="000000"/>
                <w:right w:val="none" w:sz="0" w:space="0" w:color="000000"/>
                <w:between w:val="none" w:sz="0" w:space="0" w:color="000000"/>
              </w:pBdr>
              <w:jc w:val="center"/>
              <w:rPr>
                <w:b/>
                <w:bCs/>
                <w:iCs/>
                <w:sz w:val="26"/>
                <w:szCs w:val="26"/>
              </w:rPr>
            </w:pPr>
            <w:r>
              <w:rPr>
                <w:b/>
                <w:bCs/>
                <w:iCs/>
                <w:sz w:val="26"/>
                <w:szCs w:val="26"/>
              </w:rPr>
              <w:t>TỈNH TÂY NINH</w:t>
            </w:r>
          </w:p>
          <w:p w:rsidR="005137CD" w:rsidRDefault="006543D0">
            <w:pPr>
              <w:jc w:val="center"/>
              <w:rPr>
                <w:b/>
                <w:sz w:val="28"/>
                <w:szCs w:val="28"/>
              </w:rPr>
            </w:pPr>
            <w:r>
              <w:rPr>
                <w:noProof/>
                <w:lang w:eastAsia="en-US"/>
              </w:rPr>
              <mc:AlternateContent>
                <mc:Choice Requires="wpg">
                  <w:drawing>
                    <wp:anchor distT="0" distB="4294967295" distL="114300" distR="114300" simplePos="0" relativeHeight="251656704" behindDoc="0" locked="0" layoutInCell="1" allowOverlap="1">
                      <wp:simplePos x="0" y="0"/>
                      <wp:positionH relativeFrom="column">
                        <wp:posOffset>642620</wp:posOffset>
                      </wp:positionH>
                      <wp:positionV relativeFrom="paragraph">
                        <wp:posOffset>41910</wp:posOffset>
                      </wp:positionV>
                      <wp:extent cx="762000"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7620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0" o:spid="_x0000_s0" style="position:absolute;left:0;text-align:left;z-index:251656704;mso-wrap-distance-left:9.00pt;mso-wrap-distance-top:0.00pt;mso-wrap-distance-right:9.00pt;mso-wrap-distance-bottom:-169093.20pt;visibility:visible;" from="50.6pt,3.3pt" to="110.6pt,3.3pt" fillcolor="#FFFFFF" strokecolor="#000000"/>
                  </w:pict>
                </mc:Fallback>
              </mc:AlternateContent>
            </w:r>
          </w:p>
          <w:p w:rsidR="005137CD" w:rsidRDefault="006543D0">
            <w:pPr>
              <w:pBdr>
                <w:top w:val="none" w:sz="0" w:space="0" w:color="000000"/>
                <w:left w:val="none" w:sz="0" w:space="0" w:color="000000"/>
                <w:bottom w:val="none" w:sz="0" w:space="0" w:color="000000"/>
                <w:right w:val="none" w:sz="0" w:space="0" w:color="000000"/>
                <w:between w:val="none" w:sz="0" w:space="0" w:color="000000"/>
              </w:pBdr>
              <w:jc w:val="center"/>
              <w:rPr>
                <w:iCs/>
                <w:sz w:val="28"/>
                <w:szCs w:val="28"/>
              </w:rPr>
            </w:pPr>
            <w:r>
              <w:rPr>
                <w:iCs/>
                <w:noProof/>
                <w:sz w:val="28"/>
                <w:szCs w:val="28"/>
                <w:lang w:eastAsia="en-US"/>
              </w:rPr>
              <mc:AlternateContent>
                <mc:Choice Requires="wpg">
                  <w:drawing>
                    <wp:anchor distT="0" distB="0" distL="114300" distR="114300" simplePos="0" relativeHeight="251659776" behindDoc="0" locked="0" layoutInCell="1" allowOverlap="1">
                      <wp:simplePos x="0" y="0"/>
                      <wp:positionH relativeFrom="column">
                        <wp:posOffset>241935</wp:posOffset>
                      </wp:positionH>
                      <wp:positionV relativeFrom="paragraph">
                        <wp:posOffset>334010</wp:posOffset>
                      </wp:positionV>
                      <wp:extent cx="885825" cy="266700"/>
                      <wp:effectExtent l="0" t="0" r="28575" b="19050"/>
                      <wp:wrapNone/>
                      <wp:docPr id="2" name="Text Box 4"/>
                      <wp:cNvGraphicFramePr/>
                      <a:graphic xmlns:a="http://schemas.openxmlformats.org/drawingml/2006/main">
                        <a:graphicData uri="http://schemas.microsoft.com/office/word/2010/wordprocessingShape">
                          <wps:wsp>
                            <wps:cNvSpPr txBox="1"/>
                            <wps:spPr bwMode="auto">
                              <a:xfrm>
                                <a:off x="0" y="0"/>
                                <a:ext cx="885825" cy="266700"/>
                              </a:xfrm>
                              <a:prstGeom prst="rect">
                                <a:avLst/>
                              </a:prstGeom>
                              <a:solidFill>
                                <a:schemeClr val="lt1"/>
                              </a:solidFill>
                              <a:ln w="6350">
                                <a:solidFill>
                                  <a:prstClr val="black"/>
                                </a:solidFill>
                              </a:ln>
                            </wps:spPr>
                            <wps:txbx>
                              <w:txbxContent>
                                <w:p w:rsidR="005137CD" w:rsidRDefault="006543D0">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1" o:spid="_x0000_s1" o:spt="202" type="#_x0000_t202" style="position:absolute;z-index:251659776;o:allowoverlap:true;o:allowincell:true;mso-position-horizontal-relative:text;margin-left:19.05pt;mso-position-horizontal:absolute;mso-position-vertical-relative:text;margin-top:26.30pt;mso-position-vertical:absolute;width:69.75pt;height:21.00pt;mso-wrap-distance-left:9.00pt;mso-wrap-distance-top:0.00pt;mso-wrap-distance-right:9.00pt;mso-wrap-distance-bottom:0.00pt;v-text-anchor:top;visibility:visible;" fillcolor="#FFFFFF" strokecolor="#000000" strokeweight="0.50pt">
                      <v:textbox inset="0,0,0,0">
                        <w:txbxContent>
                          <w:p>
                            <w:pPr>
                              <w:pBdr/>
                              <w:spacing/>
                              <w:ind/>
                              <w:rPr/>
                            </w:pPr>
                            <w:r>
                              <w:t xml:space="preserve">DỰ THẢO</w:t>
                            </w:r>
                            <w:r/>
                          </w:p>
                        </w:txbxContent>
                      </v:textbox>
                    </v:shape>
                  </w:pict>
                </mc:Fallback>
              </mc:AlternateContent>
            </w:r>
            <w:r>
              <w:rPr>
                <w:iCs/>
                <w:sz w:val="28"/>
                <w:szCs w:val="28"/>
              </w:rPr>
              <w:t>Số:         /2026/QĐ-UBND</w:t>
            </w:r>
          </w:p>
        </w:tc>
        <w:tc>
          <w:tcPr>
            <w:tcW w:w="6160" w:type="dxa"/>
            <w:tcBorders>
              <w:top w:val="none" w:sz="0" w:space="0" w:color="000000"/>
              <w:left w:val="none" w:sz="0" w:space="0" w:color="000000"/>
              <w:bottom w:val="none" w:sz="0" w:space="0" w:color="000000"/>
              <w:right w:val="none" w:sz="0" w:space="0" w:color="000000"/>
            </w:tcBorders>
          </w:tcPr>
          <w:p w:rsidR="005137CD" w:rsidRDefault="006543D0">
            <w:pPr>
              <w:pBdr>
                <w:top w:val="none" w:sz="0" w:space="0" w:color="000000"/>
                <w:left w:val="none" w:sz="0" w:space="0" w:color="000000"/>
                <w:bottom w:val="none" w:sz="0" w:space="0" w:color="000000"/>
                <w:right w:val="none" w:sz="0" w:space="0" w:color="000000"/>
                <w:between w:val="none" w:sz="0" w:space="0" w:color="000000"/>
              </w:pBdr>
              <w:ind w:left="317"/>
              <w:jc w:val="center"/>
              <w:rPr>
                <w:b/>
                <w:bCs/>
                <w:iCs/>
                <w:sz w:val="26"/>
                <w:szCs w:val="26"/>
              </w:rPr>
            </w:pPr>
            <w:r>
              <w:rPr>
                <w:b/>
                <w:bCs/>
                <w:iCs/>
                <w:sz w:val="26"/>
                <w:szCs w:val="26"/>
              </w:rPr>
              <w:t>CỘNG HÒA XÃ HỘI CHỦ NGHĨA VIỆT NAM</w:t>
            </w:r>
          </w:p>
          <w:p w:rsidR="005137CD" w:rsidRDefault="006543D0">
            <w:pPr>
              <w:pBdr>
                <w:top w:val="none" w:sz="0" w:space="0" w:color="000000"/>
                <w:left w:val="none" w:sz="0" w:space="0" w:color="000000"/>
                <w:bottom w:val="none" w:sz="0" w:space="0" w:color="000000"/>
                <w:right w:val="none" w:sz="0" w:space="0" w:color="000000"/>
                <w:between w:val="none" w:sz="0" w:space="0" w:color="000000"/>
              </w:pBdr>
              <w:ind w:left="317"/>
              <w:jc w:val="center"/>
              <w:rPr>
                <w:b/>
                <w:bCs/>
                <w:iCs/>
                <w:sz w:val="28"/>
                <w:szCs w:val="28"/>
              </w:rPr>
            </w:pPr>
            <w:r>
              <w:rPr>
                <w:b/>
                <w:bCs/>
                <w:iCs/>
                <w:sz w:val="28"/>
                <w:szCs w:val="28"/>
              </w:rPr>
              <w:t>Độc lập - Tự do - Hạnh phúc</w:t>
            </w:r>
          </w:p>
          <w:p w:rsidR="005137CD" w:rsidRDefault="006543D0">
            <w:pPr>
              <w:pBdr>
                <w:top w:val="none" w:sz="0" w:space="0" w:color="000000"/>
                <w:left w:val="none" w:sz="0" w:space="0" w:color="000000"/>
                <w:bottom w:val="none" w:sz="0" w:space="0" w:color="000000"/>
                <w:right w:val="none" w:sz="0" w:space="0" w:color="000000"/>
                <w:between w:val="none" w:sz="0" w:space="0" w:color="000000"/>
              </w:pBdr>
              <w:rPr>
                <w:b/>
                <w:bCs/>
                <w:iCs/>
                <w:sz w:val="28"/>
                <w:szCs w:val="28"/>
              </w:rPr>
            </w:pPr>
            <w:r>
              <w:rPr>
                <w:noProof/>
                <w:lang w:eastAsia="en-US"/>
              </w:rPr>
              <mc:AlternateContent>
                <mc:Choice Requires="wpg">
                  <w:drawing>
                    <wp:anchor distT="0" distB="4294967295" distL="114300" distR="114300" simplePos="0" relativeHeight="251661824" behindDoc="0" locked="0" layoutInCell="1" allowOverlap="1">
                      <wp:simplePos x="0" y="0"/>
                      <wp:positionH relativeFrom="column">
                        <wp:posOffset>977265</wp:posOffset>
                      </wp:positionH>
                      <wp:positionV relativeFrom="paragraph">
                        <wp:posOffset>47625</wp:posOffset>
                      </wp:positionV>
                      <wp:extent cx="201930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0193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2" o:spid="_x0000_s2" style="position:absolute;left:0;text-align:left;z-index:251661824;mso-wrap-distance-left:9.00pt;mso-wrap-distance-top:0.00pt;mso-wrap-distance-right:9.00pt;mso-wrap-distance-bottom:-169093.20pt;visibility:visible;" from="77.0pt,3.8pt" to="235.9pt,3.8pt" fillcolor="#FFFFFF" strokecolor="#000000"/>
                  </w:pict>
                </mc:Fallback>
              </mc:AlternateContent>
            </w:r>
          </w:p>
          <w:p w:rsidR="005137CD" w:rsidRDefault="006543D0">
            <w:pPr>
              <w:pBdr>
                <w:top w:val="none" w:sz="0" w:space="0" w:color="000000"/>
                <w:left w:val="none" w:sz="0" w:space="0" w:color="000000"/>
                <w:bottom w:val="none" w:sz="0" w:space="0" w:color="000000"/>
                <w:right w:val="none" w:sz="0" w:space="0" w:color="000000"/>
                <w:between w:val="none" w:sz="0" w:space="0" w:color="000000"/>
              </w:pBdr>
              <w:ind w:left="317"/>
              <w:jc w:val="center"/>
              <w:rPr>
                <w:bCs/>
                <w:i/>
                <w:iCs/>
                <w:sz w:val="28"/>
                <w:szCs w:val="28"/>
              </w:rPr>
            </w:pPr>
            <w:r>
              <w:rPr>
                <w:bCs/>
                <w:i/>
                <w:iCs/>
                <w:sz w:val="28"/>
                <w:szCs w:val="28"/>
              </w:rPr>
              <w:t xml:space="preserve">        Tây Ninh, ngày         tháng 0</w:t>
            </w:r>
            <w:r>
              <w:rPr>
                <w:bCs/>
                <w:i/>
                <w:iCs/>
                <w:sz w:val="28"/>
                <w:szCs w:val="28"/>
                <w:lang w:eastAsia="ja-JP"/>
              </w:rPr>
              <w:t>2</w:t>
            </w:r>
            <w:r>
              <w:rPr>
                <w:bCs/>
                <w:i/>
                <w:iCs/>
                <w:sz w:val="28"/>
                <w:szCs w:val="28"/>
              </w:rPr>
              <w:t xml:space="preserve"> năm 2026</w:t>
            </w:r>
          </w:p>
          <w:p w:rsidR="005137CD" w:rsidRDefault="005137CD">
            <w:pPr>
              <w:pBdr>
                <w:top w:val="none" w:sz="0" w:space="0" w:color="000000"/>
                <w:left w:val="none" w:sz="0" w:space="0" w:color="000000"/>
                <w:bottom w:val="none" w:sz="0" w:space="0" w:color="000000"/>
                <w:right w:val="none" w:sz="0" w:space="0" w:color="000000"/>
                <w:between w:val="none" w:sz="0" w:space="0" w:color="000000"/>
              </w:pBdr>
              <w:tabs>
                <w:tab w:val="left" w:pos="1315"/>
              </w:tabs>
              <w:rPr>
                <w:sz w:val="4"/>
                <w:szCs w:val="4"/>
              </w:rPr>
            </w:pPr>
          </w:p>
          <w:p w:rsidR="005137CD" w:rsidRDefault="006543D0">
            <w:pPr>
              <w:pBdr>
                <w:top w:val="none" w:sz="0" w:space="0" w:color="000000"/>
                <w:left w:val="none" w:sz="0" w:space="0" w:color="000000"/>
                <w:bottom w:val="none" w:sz="0" w:space="0" w:color="000000"/>
                <w:right w:val="none" w:sz="0" w:space="0" w:color="000000"/>
                <w:between w:val="none" w:sz="0" w:space="0" w:color="000000"/>
              </w:pBdr>
              <w:tabs>
                <w:tab w:val="left" w:pos="1315"/>
              </w:tabs>
              <w:rPr>
                <w:sz w:val="12"/>
                <w:szCs w:val="12"/>
              </w:rPr>
            </w:pPr>
            <w:r>
              <w:rPr>
                <w:sz w:val="16"/>
                <w:szCs w:val="16"/>
              </w:rPr>
              <w:tab/>
            </w:r>
          </w:p>
        </w:tc>
      </w:tr>
    </w:tbl>
    <w:p w:rsidR="005137CD" w:rsidRDefault="005137CD">
      <w:pPr>
        <w:widowControl w:val="0"/>
        <w:rPr>
          <w:rFonts w:eastAsia="Arial Unicode MS"/>
          <w:b/>
          <w:sz w:val="16"/>
          <w:szCs w:val="28"/>
          <w:lang w:val="vi-VN" w:eastAsia="ar-SA"/>
        </w:rPr>
      </w:pPr>
    </w:p>
    <w:p w:rsidR="005137CD" w:rsidRDefault="006543D0">
      <w:pPr>
        <w:spacing w:before="90"/>
        <w:jc w:val="center"/>
        <w:rPr>
          <w:b/>
          <w:bCs/>
          <w:sz w:val="28"/>
          <w:szCs w:val="28"/>
        </w:rPr>
      </w:pPr>
      <w:r>
        <w:rPr>
          <w:b/>
          <w:bCs/>
          <w:sz w:val="28"/>
          <w:szCs w:val="28"/>
        </w:rPr>
        <w:t>QUYẾT ĐỊNH</w:t>
      </w:r>
    </w:p>
    <w:p w:rsidR="005137CD" w:rsidRDefault="005137CD">
      <w:pPr>
        <w:spacing w:before="90"/>
        <w:jc w:val="center"/>
        <w:rPr>
          <w:b/>
          <w:bCs/>
          <w:sz w:val="2"/>
          <w:szCs w:val="28"/>
        </w:rPr>
      </w:pPr>
    </w:p>
    <w:p w:rsidR="005137CD" w:rsidRDefault="006543D0">
      <w:pPr>
        <w:jc w:val="center"/>
        <w:rPr>
          <w:b/>
          <w:bCs/>
          <w:sz w:val="28"/>
          <w:szCs w:val="28"/>
        </w:rPr>
      </w:pPr>
      <w:r>
        <w:rPr>
          <w:b/>
          <w:bCs/>
          <w:sz w:val="28"/>
          <w:szCs w:val="28"/>
        </w:rPr>
        <w:t xml:space="preserve">Triển khai </w:t>
      </w:r>
      <w:r>
        <w:rPr>
          <w:b/>
          <w:bCs/>
          <w:sz w:val="28"/>
          <w:szCs w:val="28"/>
        </w:rPr>
        <w:t>Nghị quyết số 23/2025/NQ-HĐND ngày 10/12/2025 của HĐND tỉnh về việc quy định mức hỗ trợ đóng bảo hiểm y tế cho các đối tượng không được hưởng mức hỗ trợ từ ngân sách nhà nước đối với Thanh niên thi hành nghĩa vụ Kinh tế - Quốc phòng của tỉnh Tây Ninh và Đo</w:t>
      </w:r>
      <w:r>
        <w:rPr>
          <w:b/>
          <w:bCs/>
          <w:sz w:val="28"/>
          <w:szCs w:val="28"/>
        </w:rPr>
        <w:t xml:space="preserve">àn xây dựng kinh tế Thanh niên trên địa bàn tỉnh Tây Ninh </w:t>
      </w:r>
    </w:p>
    <w:p w:rsidR="005137CD" w:rsidRDefault="006543D0">
      <w:pPr>
        <w:widowControl w:val="0"/>
        <w:spacing w:before="120"/>
        <w:jc w:val="center"/>
        <w:rPr>
          <w:sz w:val="28"/>
          <w:szCs w:val="28"/>
        </w:rPr>
      </w:pPr>
      <w:r>
        <w:rPr>
          <w:rFonts w:eastAsia="Arial Unicode MS"/>
          <w:b/>
          <w:bCs/>
          <w:noProof/>
          <w:lang w:eastAsia="en-US"/>
        </w:rPr>
        <mc:AlternateContent>
          <mc:Choice Requires="wpg">
            <w:drawing>
              <wp:anchor distT="0" distB="4294967295" distL="114300" distR="114300" simplePos="0" relativeHeight="251658752" behindDoc="0" locked="0" layoutInCell="1" allowOverlap="1">
                <wp:simplePos x="0" y="0"/>
                <wp:positionH relativeFrom="column">
                  <wp:posOffset>1967865</wp:posOffset>
                </wp:positionH>
                <wp:positionV relativeFrom="paragraph">
                  <wp:posOffset>125730</wp:posOffset>
                </wp:positionV>
                <wp:extent cx="1685925" cy="0"/>
                <wp:effectExtent l="0" t="0" r="0" b="0"/>
                <wp:wrapNone/>
                <wp:docPr id="4" name="Straight Connector 6"/>
                <wp:cNvGraphicFramePr/>
                <a:graphic xmlns:a="http://schemas.openxmlformats.org/drawingml/2006/main">
                  <a:graphicData uri="http://schemas.microsoft.com/office/word/2010/wordprocessingShape">
                    <wps:wsp>
                      <wps:cNvCnPr/>
                      <wps:spPr bwMode="auto">
                        <a:xfrm>
                          <a:off x="0" y="0"/>
                          <a:ext cx="1685925"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3" o:spid="_x0000_s3" style="position:absolute;left:0;text-align:left;z-index:251658752;mso-wrap-distance-left:9.00pt;mso-wrap-distance-top:0.00pt;mso-wrap-distance-right:9.00pt;mso-wrap-distance-bottom:-169093.20pt;visibility:visible;" from="154.9pt,9.9pt" to="287.7pt,9.9pt" filled="f" strokecolor="#000000"/>
            </w:pict>
          </mc:Fallback>
        </mc:AlternateContent>
      </w:r>
    </w:p>
    <w:p w:rsidR="005137CD" w:rsidRDefault="006543D0">
      <w:pPr>
        <w:widowControl w:val="0"/>
        <w:spacing w:before="120" w:after="120" w:line="264" w:lineRule="auto"/>
        <w:ind w:firstLine="567"/>
        <w:jc w:val="both"/>
        <w:rPr>
          <w:rFonts w:eastAsia="Calibri"/>
          <w:i/>
          <w:iCs/>
          <w:sz w:val="28"/>
          <w:szCs w:val="28"/>
        </w:rPr>
      </w:pPr>
      <w:r>
        <w:rPr>
          <w:rFonts w:eastAsia="Calibri"/>
          <w:i/>
          <w:iCs/>
          <w:sz w:val="28"/>
          <w:szCs w:val="28"/>
        </w:rPr>
        <w:t>Căn c</w:t>
      </w:r>
      <w:r>
        <w:rPr>
          <w:rFonts w:eastAsia="Calibri"/>
          <w:i/>
          <w:iCs/>
          <w:sz w:val="28"/>
          <w:szCs w:val="28"/>
        </w:rPr>
        <w:t>ứ</w:t>
      </w:r>
      <w:r>
        <w:rPr>
          <w:rFonts w:eastAsia="Calibri"/>
          <w:i/>
          <w:iCs/>
          <w:sz w:val="28"/>
          <w:szCs w:val="28"/>
        </w:rPr>
        <w:t xml:space="preserve"> Lu</w:t>
      </w:r>
      <w:r>
        <w:rPr>
          <w:rFonts w:eastAsia="Calibri"/>
          <w:i/>
          <w:iCs/>
          <w:sz w:val="28"/>
          <w:szCs w:val="28"/>
        </w:rPr>
        <w:t>ậ</w:t>
      </w:r>
      <w:r>
        <w:rPr>
          <w:rFonts w:eastAsia="Calibri"/>
          <w:i/>
          <w:iCs/>
          <w:sz w:val="28"/>
          <w:szCs w:val="28"/>
        </w:rPr>
        <w:t>t T</w:t>
      </w:r>
      <w:r>
        <w:rPr>
          <w:rFonts w:eastAsia="Calibri"/>
          <w:i/>
          <w:iCs/>
          <w:sz w:val="28"/>
          <w:szCs w:val="28"/>
        </w:rPr>
        <w:t>ổ</w:t>
      </w:r>
      <w:r>
        <w:rPr>
          <w:rFonts w:eastAsia="Calibri"/>
          <w:i/>
          <w:iCs/>
          <w:sz w:val="28"/>
          <w:szCs w:val="28"/>
        </w:rPr>
        <w:t xml:space="preserve"> ch</w:t>
      </w:r>
      <w:r>
        <w:rPr>
          <w:rFonts w:eastAsia="Calibri"/>
          <w:i/>
          <w:iCs/>
          <w:sz w:val="28"/>
          <w:szCs w:val="28"/>
        </w:rPr>
        <w:t>ứ</w:t>
      </w:r>
      <w:r>
        <w:rPr>
          <w:rFonts w:eastAsia="Calibri"/>
          <w:i/>
          <w:iCs/>
          <w:sz w:val="28"/>
          <w:szCs w:val="28"/>
        </w:rPr>
        <w:t>c chính quy</w:t>
      </w:r>
      <w:r>
        <w:rPr>
          <w:rFonts w:eastAsia="Calibri"/>
          <w:i/>
          <w:iCs/>
          <w:sz w:val="28"/>
          <w:szCs w:val="28"/>
        </w:rPr>
        <w:t>ề</w:t>
      </w:r>
      <w:r>
        <w:rPr>
          <w:rFonts w:eastAsia="Calibri"/>
          <w:i/>
          <w:iCs/>
          <w:sz w:val="28"/>
          <w:szCs w:val="28"/>
        </w:rPr>
        <w:t>n đ</w:t>
      </w:r>
      <w:r>
        <w:rPr>
          <w:rFonts w:eastAsia="Calibri"/>
          <w:i/>
          <w:iCs/>
          <w:sz w:val="28"/>
          <w:szCs w:val="28"/>
        </w:rPr>
        <w:t>ị</w:t>
      </w:r>
      <w:r>
        <w:rPr>
          <w:rFonts w:eastAsia="Calibri"/>
          <w:i/>
          <w:iCs/>
          <w:sz w:val="28"/>
          <w:szCs w:val="28"/>
        </w:rPr>
        <w:t>a phương s</w:t>
      </w:r>
      <w:r>
        <w:rPr>
          <w:rFonts w:eastAsia="Calibri"/>
          <w:i/>
          <w:iCs/>
          <w:sz w:val="28"/>
          <w:szCs w:val="28"/>
        </w:rPr>
        <w:t>ố</w:t>
      </w:r>
      <w:r>
        <w:rPr>
          <w:rFonts w:eastAsia="Calibri"/>
          <w:i/>
          <w:iCs/>
          <w:sz w:val="28"/>
          <w:szCs w:val="28"/>
        </w:rPr>
        <w:t xml:space="preserve"> 72/2025/QH15;</w:t>
      </w:r>
    </w:p>
    <w:p w:rsidR="005137CD" w:rsidRDefault="006543D0">
      <w:pPr>
        <w:widowControl w:val="0"/>
        <w:spacing w:before="120" w:after="120" w:line="264" w:lineRule="auto"/>
        <w:ind w:firstLine="567"/>
        <w:jc w:val="both"/>
        <w:rPr>
          <w:rFonts w:eastAsia="Calibri"/>
          <w:i/>
          <w:iCs/>
          <w:sz w:val="28"/>
          <w:szCs w:val="28"/>
        </w:rPr>
      </w:pPr>
      <w:r>
        <w:rPr>
          <w:rFonts w:eastAsia="Calibri"/>
          <w:i/>
          <w:iCs/>
          <w:sz w:val="28"/>
          <w:szCs w:val="28"/>
        </w:rPr>
        <w:t>Căn c</w:t>
      </w:r>
      <w:r>
        <w:rPr>
          <w:rFonts w:eastAsia="Calibri"/>
          <w:i/>
          <w:iCs/>
          <w:sz w:val="28"/>
          <w:szCs w:val="28"/>
        </w:rPr>
        <w:t>ứ</w:t>
      </w:r>
      <w:r>
        <w:rPr>
          <w:rFonts w:eastAsia="Calibri"/>
          <w:i/>
          <w:iCs/>
          <w:sz w:val="28"/>
          <w:szCs w:val="28"/>
        </w:rPr>
        <w:t xml:space="preserve"> Lu</w:t>
      </w:r>
      <w:r>
        <w:rPr>
          <w:rFonts w:eastAsia="Calibri"/>
          <w:i/>
          <w:iCs/>
          <w:sz w:val="28"/>
          <w:szCs w:val="28"/>
        </w:rPr>
        <w:t>ậ</w:t>
      </w:r>
      <w:r>
        <w:rPr>
          <w:rFonts w:eastAsia="Calibri"/>
          <w:i/>
          <w:iCs/>
          <w:sz w:val="28"/>
          <w:szCs w:val="28"/>
        </w:rPr>
        <w:t>t B</w:t>
      </w:r>
      <w:r>
        <w:rPr>
          <w:rFonts w:eastAsia="Calibri"/>
          <w:i/>
          <w:iCs/>
          <w:sz w:val="28"/>
          <w:szCs w:val="28"/>
        </w:rPr>
        <w:t>ả</w:t>
      </w:r>
      <w:r>
        <w:rPr>
          <w:rFonts w:eastAsia="Calibri"/>
          <w:i/>
          <w:iCs/>
          <w:sz w:val="28"/>
          <w:szCs w:val="28"/>
        </w:rPr>
        <w:t>o hi</w:t>
      </w:r>
      <w:r>
        <w:rPr>
          <w:rFonts w:eastAsia="Calibri"/>
          <w:i/>
          <w:iCs/>
          <w:sz w:val="28"/>
          <w:szCs w:val="28"/>
        </w:rPr>
        <w:t>ể</w:t>
      </w:r>
      <w:r>
        <w:rPr>
          <w:rFonts w:eastAsia="Calibri"/>
          <w:i/>
          <w:iCs/>
          <w:sz w:val="28"/>
          <w:szCs w:val="28"/>
        </w:rPr>
        <w:t>m y t</w:t>
      </w:r>
      <w:r>
        <w:rPr>
          <w:rFonts w:eastAsia="Calibri"/>
          <w:i/>
          <w:iCs/>
          <w:sz w:val="28"/>
          <w:szCs w:val="28"/>
        </w:rPr>
        <w:t>ế</w:t>
      </w:r>
      <w:r>
        <w:rPr>
          <w:rFonts w:eastAsia="Calibri"/>
          <w:i/>
          <w:iCs/>
          <w:sz w:val="28"/>
          <w:szCs w:val="28"/>
        </w:rPr>
        <w:t xml:space="preserve"> </w:t>
      </w:r>
      <w:r>
        <w:rPr>
          <w:i/>
          <w:iCs/>
          <w:sz w:val="28"/>
          <w:szCs w:val="28"/>
        </w:rPr>
        <w:t>số 25/2008/QH12</w:t>
      </w:r>
      <w:r>
        <w:rPr>
          <w:rFonts w:eastAsia="Calibri"/>
          <w:i/>
          <w:iCs/>
          <w:sz w:val="28"/>
          <w:szCs w:val="28"/>
        </w:rPr>
        <w:t>; Lu</w:t>
      </w:r>
      <w:r>
        <w:rPr>
          <w:rFonts w:eastAsia="Calibri"/>
          <w:i/>
          <w:iCs/>
          <w:sz w:val="28"/>
          <w:szCs w:val="28"/>
        </w:rPr>
        <w:t>ậ</w:t>
      </w:r>
      <w:r>
        <w:rPr>
          <w:rFonts w:eastAsia="Calibri"/>
          <w:i/>
          <w:iCs/>
          <w:sz w:val="28"/>
          <w:szCs w:val="28"/>
        </w:rPr>
        <w:t>t s</w:t>
      </w:r>
      <w:r>
        <w:rPr>
          <w:rFonts w:eastAsia="Calibri"/>
          <w:i/>
          <w:iCs/>
          <w:sz w:val="28"/>
          <w:szCs w:val="28"/>
        </w:rPr>
        <w:t>ử</w:t>
      </w:r>
      <w:r>
        <w:rPr>
          <w:rFonts w:eastAsia="Calibri"/>
          <w:i/>
          <w:iCs/>
          <w:sz w:val="28"/>
          <w:szCs w:val="28"/>
        </w:rPr>
        <w:t>a đ</w:t>
      </w:r>
      <w:r>
        <w:rPr>
          <w:rFonts w:eastAsia="Calibri"/>
          <w:i/>
          <w:iCs/>
          <w:sz w:val="28"/>
          <w:szCs w:val="28"/>
        </w:rPr>
        <w:t>ổ</w:t>
      </w:r>
      <w:r>
        <w:rPr>
          <w:rFonts w:eastAsia="Calibri"/>
          <w:i/>
          <w:iCs/>
          <w:sz w:val="28"/>
          <w:szCs w:val="28"/>
        </w:rPr>
        <w:t>i, b</w:t>
      </w:r>
      <w:r>
        <w:rPr>
          <w:rFonts w:eastAsia="Calibri"/>
          <w:i/>
          <w:iCs/>
          <w:sz w:val="28"/>
          <w:szCs w:val="28"/>
        </w:rPr>
        <w:t>ổ</w:t>
      </w:r>
      <w:r>
        <w:rPr>
          <w:rFonts w:eastAsia="Calibri"/>
          <w:i/>
          <w:iCs/>
          <w:sz w:val="28"/>
          <w:szCs w:val="28"/>
        </w:rPr>
        <w:t xml:space="preserve"> sung m</w:t>
      </w:r>
      <w:r>
        <w:rPr>
          <w:rFonts w:eastAsia="Calibri"/>
          <w:i/>
          <w:iCs/>
          <w:sz w:val="28"/>
          <w:szCs w:val="28"/>
        </w:rPr>
        <w:t>ộ</w:t>
      </w:r>
      <w:r>
        <w:rPr>
          <w:rFonts w:eastAsia="Calibri"/>
          <w:i/>
          <w:iCs/>
          <w:sz w:val="28"/>
          <w:szCs w:val="28"/>
        </w:rPr>
        <w:t>t s</w:t>
      </w:r>
      <w:r>
        <w:rPr>
          <w:rFonts w:eastAsia="Calibri"/>
          <w:i/>
          <w:iCs/>
          <w:sz w:val="28"/>
          <w:szCs w:val="28"/>
        </w:rPr>
        <w:t>ố</w:t>
      </w:r>
      <w:r>
        <w:rPr>
          <w:rFonts w:eastAsia="Calibri"/>
          <w:i/>
          <w:iCs/>
          <w:sz w:val="28"/>
          <w:szCs w:val="28"/>
        </w:rPr>
        <w:t xml:space="preserve"> đi</w:t>
      </w:r>
      <w:r>
        <w:rPr>
          <w:rFonts w:eastAsia="Calibri"/>
          <w:i/>
          <w:iCs/>
          <w:sz w:val="28"/>
          <w:szCs w:val="28"/>
        </w:rPr>
        <w:t>ề</w:t>
      </w:r>
      <w:r>
        <w:rPr>
          <w:rFonts w:eastAsia="Calibri"/>
          <w:i/>
          <w:iCs/>
          <w:sz w:val="28"/>
          <w:szCs w:val="28"/>
        </w:rPr>
        <w:t>u c</w:t>
      </w:r>
      <w:r>
        <w:rPr>
          <w:rFonts w:eastAsia="Calibri"/>
          <w:i/>
          <w:iCs/>
          <w:sz w:val="28"/>
          <w:szCs w:val="28"/>
        </w:rPr>
        <w:t>ủ</w:t>
      </w:r>
      <w:r>
        <w:rPr>
          <w:rFonts w:eastAsia="Calibri"/>
          <w:i/>
          <w:iCs/>
          <w:sz w:val="28"/>
          <w:szCs w:val="28"/>
        </w:rPr>
        <w:t>a Lu</w:t>
      </w:r>
      <w:r>
        <w:rPr>
          <w:rFonts w:eastAsia="Calibri"/>
          <w:i/>
          <w:iCs/>
          <w:sz w:val="28"/>
          <w:szCs w:val="28"/>
        </w:rPr>
        <w:t>ậ</w:t>
      </w:r>
      <w:r>
        <w:rPr>
          <w:rFonts w:eastAsia="Calibri"/>
          <w:i/>
          <w:iCs/>
          <w:sz w:val="28"/>
          <w:szCs w:val="28"/>
        </w:rPr>
        <w:t>t B</w:t>
      </w:r>
      <w:r>
        <w:rPr>
          <w:rFonts w:eastAsia="Calibri"/>
          <w:i/>
          <w:iCs/>
          <w:sz w:val="28"/>
          <w:szCs w:val="28"/>
        </w:rPr>
        <w:t>ả</w:t>
      </w:r>
      <w:r>
        <w:rPr>
          <w:rFonts w:eastAsia="Calibri"/>
          <w:i/>
          <w:iCs/>
          <w:sz w:val="28"/>
          <w:szCs w:val="28"/>
        </w:rPr>
        <w:t>o hi</w:t>
      </w:r>
      <w:r>
        <w:rPr>
          <w:rFonts w:eastAsia="Calibri"/>
          <w:i/>
          <w:iCs/>
          <w:sz w:val="28"/>
          <w:szCs w:val="28"/>
        </w:rPr>
        <w:t>ể</w:t>
      </w:r>
      <w:r>
        <w:rPr>
          <w:rFonts w:eastAsia="Calibri"/>
          <w:i/>
          <w:iCs/>
          <w:sz w:val="28"/>
          <w:szCs w:val="28"/>
        </w:rPr>
        <w:t>m y t</w:t>
      </w:r>
      <w:r>
        <w:rPr>
          <w:rFonts w:eastAsia="Calibri"/>
          <w:i/>
          <w:iCs/>
          <w:sz w:val="28"/>
          <w:szCs w:val="28"/>
        </w:rPr>
        <w:t>ế</w:t>
      </w:r>
      <w:r>
        <w:rPr>
          <w:rFonts w:eastAsia="Calibri"/>
          <w:i/>
          <w:iCs/>
          <w:sz w:val="28"/>
          <w:szCs w:val="28"/>
        </w:rPr>
        <w:t xml:space="preserve"> 46/2014/QH13; Lu</w:t>
      </w:r>
      <w:r>
        <w:rPr>
          <w:rFonts w:eastAsia="Calibri"/>
          <w:i/>
          <w:iCs/>
          <w:sz w:val="28"/>
          <w:szCs w:val="28"/>
        </w:rPr>
        <w:t>ậ</w:t>
      </w:r>
      <w:r>
        <w:rPr>
          <w:rFonts w:eastAsia="Calibri"/>
          <w:i/>
          <w:iCs/>
          <w:sz w:val="28"/>
          <w:szCs w:val="28"/>
        </w:rPr>
        <w:t>t s</w:t>
      </w:r>
      <w:r>
        <w:rPr>
          <w:rFonts w:eastAsia="Calibri"/>
          <w:i/>
          <w:iCs/>
          <w:sz w:val="28"/>
          <w:szCs w:val="28"/>
        </w:rPr>
        <w:t>ử</w:t>
      </w:r>
      <w:r>
        <w:rPr>
          <w:rFonts w:eastAsia="Calibri"/>
          <w:i/>
          <w:iCs/>
          <w:sz w:val="28"/>
          <w:szCs w:val="28"/>
        </w:rPr>
        <w:t>a đ</w:t>
      </w:r>
      <w:r>
        <w:rPr>
          <w:rFonts w:eastAsia="Calibri"/>
          <w:i/>
          <w:iCs/>
          <w:sz w:val="28"/>
          <w:szCs w:val="28"/>
        </w:rPr>
        <w:t>ổ</w:t>
      </w:r>
      <w:r>
        <w:rPr>
          <w:rFonts w:eastAsia="Calibri"/>
          <w:i/>
          <w:iCs/>
          <w:sz w:val="28"/>
          <w:szCs w:val="28"/>
        </w:rPr>
        <w:t>i, b</w:t>
      </w:r>
      <w:r>
        <w:rPr>
          <w:rFonts w:eastAsia="Calibri"/>
          <w:i/>
          <w:iCs/>
          <w:sz w:val="28"/>
          <w:szCs w:val="28"/>
        </w:rPr>
        <w:t>ổ</w:t>
      </w:r>
      <w:r>
        <w:rPr>
          <w:rFonts w:eastAsia="Calibri"/>
          <w:i/>
          <w:iCs/>
          <w:sz w:val="28"/>
          <w:szCs w:val="28"/>
        </w:rPr>
        <w:t xml:space="preserve"> sung</w:t>
      </w:r>
      <w:r>
        <w:rPr>
          <w:rFonts w:eastAsia="Calibri"/>
          <w:i/>
          <w:iCs/>
          <w:sz w:val="28"/>
          <w:szCs w:val="28"/>
        </w:rPr>
        <w:t xml:space="preserve"> m</w:t>
      </w:r>
      <w:r>
        <w:rPr>
          <w:rFonts w:eastAsia="Calibri"/>
          <w:i/>
          <w:iCs/>
          <w:sz w:val="28"/>
          <w:szCs w:val="28"/>
        </w:rPr>
        <w:t>ộ</w:t>
      </w:r>
      <w:r>
        <w:rPr>
          <w:rFonts w:eastAsia="Calibri"/>
          <w:i/>
          <w:iCs/>
          <w:sz w:val="28"/>
          <w:szCs w:val="28"/>
        </w:rPr>
        <w:t>t s</w:t>
      </w:r>
      <w:r>
        <w:rPr>
          <w:rFonts w:eastAsia="Calibri"/>
          <w:i/>
          <w:iCs/>
          <w:sz w:val="28"/>
          <w:szCs w:val="28"/>
        </w:rPr>
        <w:t>ố</w:t>
      </w:r>
      <w:r>
        <w:rPr>
          <w:rFonts w:eastAsia="Calibri"/>
          <w:i/>
          <w:iCs/>
          <w:sz w:val="28"/>
          <w:szCs w:val="28"/>
        </w:rPr>
        <w:t xml:space="preserve"> đi</w:t>
      </w:r>
      <w:r>
        <w:rPr>
          <w:rFonts w:eastAsia="Calibri"/>
          <w:i/>
          <w:iCs/>
          <w:sz w:val="28"/>
          <w:szCs w:val="28"/>
        </w:rPr>
        <w:t>ề</w:t>
      </w:r>
      <w:r>
        <w:rPr>
          <w:rFonts w:eastAsia="Calibri"/>
          <w:i/>
          <w:iCs/>
          <w:sz w:val="28"/>
          <w:szCs w:val="28"/>
        </w:rPr>
        <w:t>u c</w:t>
      </w:r>
      <w:r>
        <w:rPr>
          <w:rFonts w:eastAsia="Calibri"/>
          <w:i/>
          <w:iCs/>
          <w:sz w:val="28"/>
          <w:szCs w:val="28"/>
        </w:rPr>
        <w:t>ủ</w:t>
      </w:r>
      <w:r>
        <w:rPr>
          <w:rFonts w:eastAsia="Calibri"/>
          <w:i/>
          <w:iCs/>
          <w:sz w:val="28"/>
          <w:szCs w:val="28"/>
        </w:rPr>
        <w:t>a Lu</w:t>
      </w:r>
      <w:r>
        <w:rPr>
          <w:rFonts w:eastAsia="Calibri"/>
          <w:i/>
          <w:iCs/>
          <w:sz w:val="28"/>
          <w:szCs w:val="28"/>
        </w:rPr>
        <w:t>ậ</w:t>
      </w:r>
      <w:r>
        <w:rPr>
          <w:rFonts w:eastAsia="Calibri"/>
          <w:i/>
          <w:iCs/>
          <w:sz w:val="28"/>
          <w:szCs w:val="28"/>
        </w:rPr>
        <w:t>t B</w:t>
      </w:r>
      <w:r>
        <w:rPr>
          <w:rFonts w:eastAsia="Calibri"/>
          <w:i/>
          <w:iCs/>
          <w:sz w:val="28"/>
          <w:szCs w:val="28"/>
        </w:rPr>
        <w:t>ả</w:t>
      </w:r>
      <w:r>
        <w:rPr>
          <w:rFonts w:eastAsia="Calibri"/>
          <w:i/>
          <w:iCs/>
          <w:sz w:val="28"/>
          <w:szCs w:val="28"/>
        </w:rPr>
        <w:t>o hi</w:t>
      </w:r>
      <w:r>
        <w:rPr>
          <w:rFonts w:eastAsia="Calibri"/>
          <w:i/>
          <w:iCs/>
          <w:sz w:val="28"/>
          <w:szCs w:val="28"/>
        </w:rPr>
        <w:t>ể</w:t>
      </w:r>
      <w:r>
        <w:rPr>
          <w:rFonts w:eastAsia="Calibri"/>
          <w:i/>
          <w:iCs/>
          <w:sz w:val="28"/>
          <w:szCs w:val="28"/>
        </w:rPr>
        <w:t>m y t</w:t>
      </w:r>
      <w:r>
        <w:rPr>
          <w:rFonts w:eastAsia="Calibri"/>
          <w:i/>
          <w:iCs/>
          <w:sz w:val="28"/>
          <w:szCs w:val="28"/>
        </w:rPr>
        <w:t>ế</w:t>
      </w:r>
      <w:r>
        <w:rPr>
          <w:rFonts w:eastAsia="Calibri"/>
          <w:i/>
          <w:iCs/>
          <w:sz w:val="28"/>
          <w:szCs w:val="28"/>
        </w:rPr>
        <w:t xml:space="preserve"> </w:t>
      </w:r>
      <w:r>
        <w:rPr>
          <w:i/>
          <w:iCs/>
          <w:sz w:val="28"/>
          <w:szCs w:val="28"/>
        </w:rPr>
        <w:t>số</w:t>
      </w:r>
      <w:r>
        <w:rPr>
          <w:i/>
          <w:iCs/>
          <w:color w:val="152C4A"/>
          <w:sz w:val="28"/>
          <w:szCs w:val="28"/>
        </w:rPr>
        <w:t xml:space="preserve"> </w:t>
      </w:r>
      <w:r>
        <w:rPr>
          <w:i/>
          <w:iCs/>
          <w:sz w:val="28"/>
          <w:szCs w:val="28"/>
        </w:rPr>
        <w:t>51/2024/QH15</w:t>
      </w:r>
      <w:r>
        <w:rPr>
          <w:rFonts w:eastAsia="Calibri"/>
          <w:i/>
          <w:iCs/>
          <w:sz w:val="28"/>
          <w:szCs w:val="28"/>
        </w:rPr>
        <w:t xml:space="preserve">; </w:t>
      </w:r>
    </w:p>
    <w:p w:rsidR="005137CD" w:rsidRDefault="006543D0">
      <w:pPr>
        <w:spacing w:before="120" w:after="120" w:line="264" w:lineRule="auto"/>
        <w:ind w:firstLine="567"/>
        <w:jc w:val="both"/>
        <w:rPr>
          <w:rFonts w:eastAsia="Calibri"/>
          <w:i/>
          <w:iCs/>
          <w:sz w:val="28"/>
          <w:szCs w:val="28"/>
        </w:rPr>
      </w:pPr>
      <w:r>
        <w:rPr>
          <w:rFonts w:eastAsia="Calibri"/>
          <w:i/>
          <w:iCs/>
          <w:sz w:val="28"/>
          <w:szCs w:val="28"/>
        </w:rPr>
        <w:t>Căn c</w:t>
      </w:r>
      <w:r>
        <w:rPr>
          <w:rFonts w:eastAsia="Calibri"/>
          <w:i/>
          <w:iCs/>
          <w:sz w:val="28"/>
          <w:szCs w:val="28"/>
        </w:rPr>
        <w:t>ứ</w:t>
      </w:r>
      <w:r>
        <w:rPr>
          <w:rFonts w:eastAsia="Calibri"/>
          <w:i/>
          <w:iCs/>
          <w:sz w:val="28"/>
          <w:szCs w:val="28"/>
        </w:rPr>
        <w:t xml:space="preserve"> Ngh</w:t>
      </w:r>
      <w:r>
        <w:rPr>
          <w:rFonts w:eastAsia="Calibri"/>
          <w:i/>
          <w:iCs/>
          <w:sz w:val="28"/>
          <w:szCs w:val="28"/>
        </w:rPr>
        <w:t>ị</w:t>
      </w:r>
      <w:r>
        <w:rPr>
          <w:rFonts w:eastAsia="Calibri"/>
          <w:i/>
          <w:iCs/>
          <w:sz w:val="28"/>
          <w:szCs w:val="28"/>
        </w:rPr>
        <w:t xml:space="preserve"> đ</w:t>
      </w:r>
      <w:r>
        <w:rPr>
          <w:rFonts w:eastAsia="Calibri"/>
          <w:i/>
          <w:iCs/>
          <w:sz w:val="28"/>
          <w:szCs w:val="28"/>
        </w:rPr>
        <w:t>ị</w:t>
      </w:r>
      <w:r>
        <w:rPr>
          <w:rFonts w:eastAsia="Calibri"/>
          <w:i/>
          <w:iCs/>
          <w:sz w:val="28"/>
          <w:szCs w:val="28"/>
        </w:rPr>
        <w:t>nh s</w:t>
      </w:r>
      <w:r>
        <w:rPr>
          <w:rFonts w:eastAsia="Calibri"/>
          <w:i/>
          <w:iCs/>
          <w:sz w:val="28"/>
          <w:szCs w:val="28"/>
        </w:rPr>
        <w:t>ố</w:t>
      </w:r>
      <w:r>
        <w:rPr>
          <w:rFonts w:eastAsia="Calibri"/>
          <w:i/>
          <w:iCs/>
          <w:sz w:val="28"/>
          <w:szCs w:val="28"/>
        </w:rPr>
        <w:t xml:space="preserve"> 188/2025/NĐ-CP ngày 01 tháng 7 năm 2025 c</w:t>
      </w:r>
      <w:r>
        <w:rPr>
          <w:rFonts w:eastAsia="Calibri"/>
          <w:i/>
          <w:iCs/>
          <w:sz w:val="28"/>
          <w:szCs w:val="28"/>
        </w:rPr>
        <w:t>ủ</w:t>
      </w:r>
      <w:r>
        <w:rPr>
          <w:rFonts w:eastAsia="Calibri"/>
          <w:i/>
          <w:iCs/>
          <w:sz w:val="28"/>
          <w:szCs w:val="28"/>
        </w:rPr>
        <w:t>a Chính ph</w:t>
      </w:r>
      <w:r>
        <w:rPr>
          <w:rFonts w:eastAsia="Calibri"/>
          <w:i/>
          <w:iCs/>
          <w:sz w:val="28"/>
          <w:szCs w:val="28"/>
        </w:rPr>
        <w:t>ủ</w:t>
      </w:r>
      <w:r>
        <w:rPr>
          <w:rFonts w:eastAsia="Calibri"/>
          <w:i/>
          <w:iCs/>
          <w:sz w:val="28"/>
          <w:szCs w:val="28"/>
        </w:rPr>
        <w:t xml:space="preserve"> quy đ</w:t>
      </w:r>
      <w:r>
        <w:rPr>
          <w:rFonts w:eastAsia="Calibri"/>
          <w:i/>
          <w:iCs/>
          <w:sz w:val="28"/>
          <w:szCs w:val="28"/>
        </w:rPr>
        <w:t>ị</w:t>
      </w:r>
      <w:r>
        <w:rPr>
          <w:rFonts w:eastAsia="Calibri"/>
          <w:i/>
          <w:iCs/>
          <w:sz w:val="28"/>
          <w:szCs w:val="28"/>
        </w:rPr>
        <w:t>nh chi ti</w:t>
      </w:r>
      <w:r>
        <w:rPr>
          <w:rFonts w:eastAsia="Calibri"/>
          <w:i/>
          <w:iCs/>
          <w:sz w:val="28"/>
          <w:szCs w:val="28"/>
        </w:rPr>
        <w:t>ế</w:t>
      </w:r>
      <w:r>
        <w:rPr>
          <w:rFonts w:eastAsia="Calibri"/>
          <w:i/>
          <w:iCs/>
          <w:sz w:val="28"/>
          <w:szCs w:val="28"/>
        </w:rPr>
        <w:t>t và hư</w:t>
      </w:r>
      <w:r>
        <w:rPr>
          <w:rFonts w:eastAsia="Calibri"/>
          <w:i/>
          <w:iCs/>
          <w:sz w:val="28"/>
          <w:szCs w:val="28"/>
        </w:rPr>
        <w:t>ớ</w:t>
      </w:r>
      <w:r>
        <w:rPr>
          <w:rFonts w:eastAsia="Calibri"/>
          <w:i/>
          <w:iCs/>
          <w:sz w:val="28"/>
          <w:szCs w:val="28"/>
        </w:rPr>
        <w:t>ng d</w:t>
      </w:r>
      <w:r>
        <w:rPr>
          <w:rFonts w:eastAsia="Calibri"/>
          <w:i/>
          <w:iCs/>
          <w:sz w:val="28"/>
          <w:szCs w:val="28"/>
        </w:rPr>
        <w:t>ẫ</w:t>
      </w:r>
      <w:r>
        <w:rPr>
          <w:rFonts w:eastAsia="Calibri"/>
          <w:i/>
          <w:iCs/>
          <w:sz w:val="28"/>
          <w:szCs w:val="28"/>
        </w:rPr>
        <w:t>n thi hành m</w:t>
      </w:r>
      <w:r>
        <w:rPr>
          <w:rFonts w:eastAsia="Calibri"/>
          <w:i/>
          <w:iCs/>
          <w:sz w:val="28"/>
          <w:szCs w:val="28"/>
        </w:rPr>
        <w:t>ộ</w:t>
      </w:r>
      <w:r>
        <w:rPr>
          <w:rFonts w:eastAsia="Calibri"/>
          <w:i/>
          <w:iCs/>
          <w:sz w:val="28"/>
          <w:szCs w:val="28"/>
        </w:rPr>
        <w:t>t s</w:t>
      </w:r>
      <w:r>
        <w:rPr>
          <w:rFonts w:eastAsia="Calibri"/>
          <w:i/>
          <w:iCs/>
          <w:sz w:val="28"/>
          <w:szCs w:val="28"/>
        </w:rPr>
        <w:t>ố</w:t>
      </w:r>
      <w:r>
        <w:rPr>
          <w:rFonts w:eastAsia="Calibri"/>
          <w:i/>
          <w:iCs/>
          <w:sz w:val="28"/>
          <w:szCs w:val="28"/>
        </w:rPr>
        <w:t xml:space="preserve"> đi</w:t>
      </w:r>
      <w:r>
        <w:rPr>
          <w:rFonts w:eastAsia="Calibri"/>
          <w:i/>
          <w:iCs/>
          <w:sz w:val="28"/>
          <w:szCs w:val="28"/>
        </w:rPr>
        <w:t>ề</w:t>
      </w:r>
      <w:r>
        <w:rPr>
          <w:rFonts w:eastAsia="Calibri"/>
          <w:i/>
          <w:iCs/>
          <w:sz w:val="28"/>
          <w:szCs w:val="28"/>
        </w:rPr>
        <w:t>u c</w:t>
      </w:r>
      <w:r>
        <w:rPr>
          <w:rFonts w:eastAsia="Calibri"/>
          <w:i/>
          <w:iCs/>
          <w:sz w:val="28"/>
          <w:szCs w:val="28"/>
        </w:rPr>
        <w:t>ủ</w:t>
      </w:r>
      <w:r>
        <w:rPr>
          <w:rFonts w:eastAsia="Calibri"/>
          <w:i/>
          <w:iCs/>
          <w:sz w:val="28"/>
          <w:szCs w:val="28"/>
        </w:rPr>
        <w:t>a Lu</w:t>
      </w:r>
      <w:r>
        <w:rPr>
          <w:rFonts w:eastAsia="Calibri"/>
          <w:i/>
          <w:iCs/>
          <w:sz w:val="28"/>
          <w:szCs w:val="28"/>
        </w:rPr>
        <w:t>ậ</w:t>
      </w:r>
      <w:r>
        <w:rPr>
          <w:rFonts w:eastAsia="Calibri"/>
          <w:i/>
          <w:iCs/>
          <w:sz w:val="28"/>
          <w:szCs w:val="28"/>
        </w:rPr>
        <w:t>t B</w:t>
      </w:r>
      <w:r>
        <w:rPr>
          <w:rFonts w:eastAsia="Calibri"/>
          <w:i/>
          <w:iCs/>
          <w:sz w:val="28"/>
          <w:szCs w:val="28"/>
        </w:rPr>
        <w:t>ả</w:t>
      </w:r>
      <w:r>
        <w:rPr>
          <w:rFonts w:eastAsia="Calibri"/>
          <w:i/>
          <w:iCs/>
          <w:sz w:val="28"/>
          <w:szCs w:val="28"/>
        </w:rPr>
        <w:t>o hi</w:t>
      </w:r>
      <w:r>
        <w:rPr>
          <w:rFonts w:eastAsia="Calibri"/>
          <w:i/>
          <w:iCs/>
          <w:sz w:val="28"/>
          <w:szCs w:val="28"/>
        </w:rPr>
        <w:t>ể</w:t>
      </w:r>
      <w:r>
        <w:rPr>
          <w:rFonts w:eastAsia="Calibri"/>
          <w:i/>
          <w:iCs/>
          <w:sz w:val="28"/>
          <w:szCs w:val="28"/>
        </w:rPr>
        <w:t>m y t</w:t>
      </w:r>
      <w:r>
        <w:rPr>
          <w:rFonts w:eastAsia="Calibri"/>
          <w:i/>
          <w:iCs/>
          <w:sz w:val="28"/>
          <w:szCs w:val="28"/>
        </w:rPr>
        <w:t>ế</w:t>
      </w:r>
      <w:r>
        <w:rPr>
          <w:rFonts w:eastAsia="Calibri"/>
          <w:i/>
          <w:iCs/>
          <w:sz w:val="28"/>
          <w:szCs w:val="28"/>
        </w:rPr>
        <w:t>;</w:t>
      </w:r>
    </w:p>
    <w:p w:rsidR="005137CD" w:rsidRDefault="006543D0">
      <w:pPr>
        <w:spacing w:before="120" w:after="120" w:line="264" w:lineRule="auto"/>
        <w:ind w:right="-5" w:firstLine="567"/>
        <w:jc w:val="both"/>
        <w:rPr>
          <w:i/>
          <w:iCs/>
          <w:sz w:val="28"/>
          <w:szCs w:val="28"/>
        </w:rPr>
      </w:pPr>
      <w:r>
        <w:rPr>
          <w:i/>
          <w:iCs/>
          <w:sz w:val="28"/>
          <w:szCs w:val="28"/>
        </w:rPr>
        <w:t>Căn cứ Nghị quyết số 23/2025/NQ-HĐND ngày 10/12/2025</w:t>
      </w:r>
      <w:r>
        <w:rPr>
          <w:i/>
          <w:iCs/>
          <w:sz w:val="28"/>
          <w:szCs w:val="28"/>
        </w:rPr>
        <w:t xml:space="preserve"> của HĐND tỉnh về việc quy định mức hỗ trợ đóng bảo hiểm y tế cho các đối tượng không được hưởng mức hỗ trợ từ ngân sách nhà nước đối với Thanh niên thi hành nghĩa vụ Kinh tế - Quốc phòng của tỉnh Tây Ninh và Đoàn xây dựng kinh tế Thanh niên trên địa bàn t</w:t>
      </w:r>
      <w:r>
        <w:rPr>
          <w:i/>
          <w:iCs/>
          <w:sz w:val="28"/>
          <w:szCs w:val="28"/>
        </w:rPr>
        <w:t>ỉnh Tây Ninh;</w:t>
      </w:r>
    </w:p>
    <w:p w:rsidR="005137CD" w:rsidRDefault="006543D0">
      <w:pPr>
        <w:spacing w:before="120" w:after="120" w:line="264" w:lineRule="auto"/>
        <w:ind w:firstLine="567"/>
        <w:jc w:val="both"/>
        <w:rPr>
          <w:i/>
          <w:iCs/>
          <w:sz w:val="28"/>
          <w:szCs w:val="28"/>
        </w:rPr>
      </w:pPr>
      <w:r>
        <w:rPr>
          <w:i/>
          <w:iCs/>
          <w:sz w:val="28"/>
          <w:szCs w:val="28"/>
        </w:rPr>
        <w:t>Xét Tờ trình số …/TTr-SNV ngày …/02/2026 của Sở Nội vụ về việc triển khai Nghị quyết số 23/2025/NQ-HĐND ngày 10/12/2025 của HĐND tỉnh về việc quy định mức hỗ trợ đóng bảo hiểm y tế cho các đối tượng không được hưởng mức hỗ trợ từ ngân sách nh</w:t>
      </w:r>
      <w:r>
        <w:rPr>
          <w:i/>
          <w:iCs/>
          <w:sz w:val="28"/>
          <w:szCs w:val="28"/>
        </w:rPr>
        <w:t>à nước đối với Thanh niên thi hành nghĩa vụ Kinh tế - Quốc phòng của tỉnh Tây Ninh và Đoàn xây dựng kinh tế Thanh niên trên địa bàn tỉnh Tây Ninh,</w:t>
      </w:r>
    </w:p>
    <w:p w:rsidR="005137CD" w:rsidRDefault="006543D0">
      <w:pPr>
        <w:spacing w:before="120" w:after="120" w:line="264" w:lineRule="auto"/>
        <w:ind w:firstLine="567"/>
        <w:jc w:val="both"/>
        <w:rPr>
          <w:i/>
          <w:iCs/>
          <w:sz w:val="28"/>
          <w:szCs w:val="28"/>
        </w:rPr>
      </w:pPr>
      <w:r>
        <w:rPr>
          <w:i/>
          <w:iCs/>
          <w:sz w:val="28"/>
          <w:szCs w:val="28"/>
        </w:rPr>
        <w:t xml:space="preserve">UBND tỉnh ban hành Quyết định triển khai Nghị quyết số 23/2025/NQ-HĐND ngày 10/12/2025 của HĐND tỉnh về việc </w:t>
      </w:r>
      <w:r>
        <w:rPr>
          <w:i/>
          <w:iCs/>
          <w:sz w:val="28"/>
          <w:szCs w:val="28"/>
        </w:rPr>
        <w:t xml:space="preserve">quy định mức hỗ trợ đóng bảo hiểm y tế cho các đối tượng không được hưởng mức hỗ trợ từ ngân sách nhà nước đối với Thanh niên thi hành nghĩa vụ Kinh tế - Quốc phòng của tỉnh Tây Ninh và Đoàn xây dựng kinh tế Thanh niên trên địa bàn tỉnh Tây Ninh. </w:t>
      </w:r>
    </w:p>
    <w:p w:rsidR="005137CD" w:rsidRDefault="006543D0">
      <w:pPr>
        <w:spacing w:before="120" w:after="120" w:line="264" w:lineRule="auto"/>
        <w:ind w:right="-5" w:firstLine="567"/>
        <w:jc w:val="both"/>
        <w:rPr>
          <w:sz w:val="28"/>
          <w:szCs w:val="28"/>
        </w:rPr>
      </w:pPr>
      <w:r>
        <w:rPr>
          <w:b/>
          <w:bCs/>
          <w:sz w:val="28"/>
          <w:szCs w:val="28"/>
        </w:rPr>
        <w:t>Điều 1.</w:t>
      </w:r>
      <w:r>
        <w:rPr>
          <w:sz w:val="35"/>
          <w:szCs w:val="35"/>
          <w:shd w:val="clear" w:color="auto" w:fill="FFFFFF"/>
        </w:rPr>
        <w:t xml:space="preserve"> </w:t>
      </w:r>
      <w:r>
        <w:rPr>
          <w:sz w:val="28"/>
          <w:szCs w:val="28"/>
          <w:shd w:val="clear" w:color="auto" w:fill="FFFFFF"/>
        </w:rPr>
        <w:t>T</w:t>
      </w:r>
      <w:r>
        <w:rPr>
          <w:sz w:val="28"/>
          <w:szCs w:val="28"/>
        </w:rPr>
        <w:t xml:space="preserve">riển khai Nghị quyết số 23/2025/NQ-HĐND ngày 10/12/2025 của HĐND tỉnh về việc quy định mức hỗ trợ đóng bảo hiểm y tế cho các đối tượng không được hưởng mức hỗ trợ từ ngân sách nhà nước đối với Thanh niên thi hành </w:t>
      </w:r>
      <w:r>
        <w:rPr>
          <w:sz w:val="28"/>
          <w:szCs w:val="28"/>
        </w:rPr>
        <w:lastRenderedPageBreak/>
        <w:t>nghĩa vụ Kinh tế - Quốc phòng của tỉnh Tây</w:t>
      </w:r>
      <w:r>
        <w:rPr>
          <w:sz w:val="28"/>
          <w:szCs w:val="28"/>
        </w:rPr>
        <w:t xml:space="preserve"> Ninh và Đoàn xây dựng kinh tế Thanh niên trên địa bàn tỉnh Tây Ninh, cụ thể như sau:</w:t>
      </w:r>
    </w:p>
    <w:p w:rsidR="005137CD" w:rsidRDefault="006543D0">
      <w:pPr>
        <w:spacing w:before="120" w:after="120" w:line="264" w:lineRule="auto"/>
        <w:ind w:firstLine="567"/>
        <w:jc w:val="both"/>
        <w:rPr>
          <w:b/>
          <w:bCs/>
          <w:sz w:val="28"/>
          <w:szCs w:val="28"/>
        </w:rPr>
      </w:pPr>
      <w:r>
        <w:rPr>
          <w:b/>
          <w:bCs/>
          <w:sz w:val="28"/>
          <w:szCs w:val="28"/>
        </w:rPr>
        <w:t>1. Đối tượng áp dụng</w:t>
      </w:r>
    </w:p>
    <w:p w:rsidR="005137CD" w:rsidRDefault="006543D0">
      <w:pPr>
        <w:spacing w:before="120" w:after="120" w:line="264" w:lineRule="auto"/>
        <w:ind w:firstLine="567"/>
        <w:jc w:val="both"/>
        <w:rPr>
          <w:sz w:val="28"/>
          <w:szCs w:val="28"/>
        </w:rPr>
      </w:pPr>
      <w:r>
        <w:rPr>
          <w:bCs/>
          <w:sz w:val="28"/>
          <w:szCs w:val="28"/>
        </w:rPr>
        <w:t>Thanh niên thi hành nghĩa vụ Kinh tế - Quốc phòng của tỉnh sau khi hoàn thành nhiệm vụ được phục viên, xuất ngũ và hiện đang cư trú hợp pháp trên địa</w:t>
      </w:r>
      <w:r>
        <w:rPr>
          <w:bCs/>
          <w:sz w:val="28"/>
          <w:szCs w:val="28"/>
        </w:rPr>
        <w:t xml:space="preserve"> bàn tỉnh Tây Ninh </w:t>
      </w:r>
      <w:r>
        <w:rPr>
          <w:sz w:val="28"/>
          <w:szCs w:val="28"/>
        </w:rPr>
        <w:t>không được hưởng mức hỗ trợ</w:t>
      </w:r>
      <w:r>
        <w:rPr>
          <w:b/>
          <w:bCs/>
          <w:sz w:val="28"/>
          <w:szCs w:val="28"/>
        </w:rPr>
        <w:t xml:space="preserve"> </w:t>
      </w:r>
      <w:r>
        <w:rPr>
          <w:sz w:val="28"/>
          <w:szCs w:val="28"/>
        </w:rPr>
        <w:t>từ ngân sách nhà nước</w:t>
      </w:r>
      <w:r>
        <w:rPr>
          <w:bCs/>
          <w:sz w:val="28"/>
          <w:szCs w:val="28"/>
        </w:rPr>
        <w:t>.</w:t>
      </w:r>
    </w:p>
    <w:p w:rsidR="005137CD" w:rsidRDefault="006543D0">
      <w:pPr>
        <w:spacing w:before="120" w:after="120" w:line="264" w:lineRule="auto"/>
        <w:ind w:firstLine="567"/>
        <w:jc w:val="both"/>
        <w:rPr>
          <w:bCs/>
          <w:sz w:val="28"/>
          <w:szCs w:val="28"/>
        </w:rPr>
      </w:pPr>
      <w:r>
        <w:rPr>
          <w:bCs/>
          <w:sz w:val="28"/>
          <w:szCs w:val="28"/>
        </w:rPr>
        <w:t xml:space="preserve">Đoàn xây dựng kinh tế Thanh niên sau khi hoàn thành nhiệm vụ được phục viên, xuất ngũ và hiện đang cư trú hợp pháp trên địa bàn tỉnh Tây Ninh </w:t>
      </w:r>
      <w:r>
        <w:rPr>
          <w:sz w:val="28"/>
          <w:szCs w:val="28"/>
        </w:rPr>
        <w:t>không được hưởng mức hỗ trợ</w:t>
      </w:r>
      <w:r>
        <w:rPr>
          <w:b/>
          <w:bCs/>
          <w:sz w:val="28"/>
          <w:szCs w:val="28"/>
        </w:rPr>
        <w:t xml:space="preserve"> </w:t>
      </w:r>
      <w:r>
        <w:rPr>
          <w:sz w:val="28"/>
          <w:szCs w:val="28"/>
        </w:rPr>
        <w:t>từ ngân sách nhà nước</w:t>
      </w:r>
      <w:r>
        <w:rPr>
          <w:bCs/>
          <w:sz w:val="28"/>
          <w:szCs w:val="28"/>
        </w:rPr>
        <w:t>.</w:t>
      </w:r>
    </w:p>
    <w:p w:rsidR="005137CD" w:rsidRDefault="006543D0">
      <w:pPr>
        <w:spacing w:before="120" w:after="120" w:line="264" w:lineRule="auto"/>
        <w:ind w:firstLine="567"/>
        <w:jc w:val="both"/>
        <w:rPr>
          <w:sz w:val="28"/>
          <w:szCs w:val="28"/>
        </w:rPr>
      </w:pPr>
      <w:r>
        <w:rPr>
          <w:b/>
          <w:bCs/>
          <w:sz w:val="28"/>
          <w:szCs w:val="28"/>
        </w:rPr>
        <w:t>2. Nguyên tắc lập danh sách</w:t>
      </w:r>
    </w:p>
    <w:p w:rsidR="005137CD" w:rsidRDefault="006543D0">
      <w:pPr>
        <w:spacing w:before="120" w:after="120" w:line="264" w:lineRule="auto"/>
        <w:ind w:firstLine="567"/>
        <w:jc w:val="both"/>
        <w:rPr>
          <w:sz w:val="28"/>
          <w:szCs w:val="28"/>
        </w:rPr>
      </w:pPr>
      <w:r>
        <w:rPr>
          <w:sz w:val="28"/>
          <w:szCs w:val="28"/>
        </w:rPr>
        <w:t xml:space="preserve">Thanh niên thi hành nghĩa vụ Kinh tế - Quốc phòng của tỉnh Tây Ninh và Đoàn xây dựng kinh tế </w:t>
      </w:r>
      <w:proofErr w:type="gramStart"/>
      <w:r>
        <w:rPr>
          <w:sz w:val="28"/>
          <w:szCs w:val="28"/>
        </w:rPr>
        <w:t>Thanh  niên</w:t>
      </w:r>
      <w:proofErr w:type="gramEnd"/>
      <w:r>
        <w:rPr>
          <w:sz w:val="28"/>
          <w:szCs w:val="28"/>
        </w:rPr>
        <w:t xml:space="preserve"> đang hưởng lương hưu hoặc đang tham gia BHYT bắt buộc, đang tham gia BHYT thuộc đối tượng do ngân sá</w:t>
      </w:r>
      <w:r>
        <w:rPr>
          <w:sz w:val="28"/>
          <w:szCs w:val="28"/>
        </w:rPr>
        <w:t>ch nhà nước đóng thì được lựa chọn tham gia theo đối tượng có mức hỗ trợ cao nhất.</w:t>
      </w:r>
    </w:p>
    <w:p w:rsidR="005137CD" w:rsidRDefault="006543D0">
      <w:pPr>
        <w:spacing w:before="120" w:after="120" w:line="264" w:lineRule="auto"/>
        <w:ind w:firstLine="567"/>
        <w:jc w:val="both"/>
        <w:rPr>
          <w:sz w:val="28"/>
          <w:szCs w:val="28"/>
        </w:rPr>
      </w:pPr>
      <w:r>
        <w:rPr>
          <w:sz w:val="28"/>
          <w:szCs w:val="28"/>
        </w:rPr>
        <w:t>Việc lập danh sách đối tượng tham gia bảo hiểm y tế phải căn cứ vào giấy tờ, hồ sơ đã được cơ quan có thẩm quyền cấp.</w:t>
      </w:r>
    </w:p>
    <w:p w:rsidR="005137CD" w:rsidRDefault="006543D0">
      <w:pPr>
        <w:spacing w:before="120" w:after="120" w:line="264" w:lineRule="auto"/>
        <w:ind w:firstLine="567"/>
        <w:jc w:val="both"/>
        <w:rPr>
          <w:sz w:val="28"/>
          <w:szCs w:val="28"/>
        </w:rPr>
      </w:pPr>
      <w:r>
        <w:rPr>
          <w:sz w:val="28"/>
          <w:szCs w:val="28"/>
        </w:rPr>
        <w:t>Danh sách đối tượng tham gia bảo hiểm y tế phải tuân th</w:t>
      </w:r>
      <w:r>
        <w:rPr>
          <w:sz w:val="28"/>
          <w:szCs w:val="28"/>
        </w:rPr>
        <w:t xml:space="preserve">eo mẫu ban hành kèm theo </w:t>
      </w:r>
      <w:r>
        <w:rPr>
          <w:rFonts w:eastAsia="Calibri"/>
          <w:sz w:val="28"/>
          <w:szCs w:val="28"/>
        </w:rPr>
        <w:t>Ngh</w:t>
      </w:r>
      <w:r>
        <w:rPr>
          <w:rFonts w:eastAsia="Calibri"/>
          <w:sz w:val="28"/>
          <w:szCs w:val="28"/>
        </w:rPr>
        <w:t>ị</w:t>
      </w:r>
      <w:r>
        <w:rPr>
          <w:rFonts w:eastAsia="Calibri"/>
          <w:sz w:val="28"/>
          <w:szCs w:val="28"/>
        </w:rPr>
        <w:t xml:space="preserve"> đ</w:t>
      </w:r>
      <w:r>
        <w:rPr>
          <w:rFonts w:eastAsia="Calibri"/>
          <w:sz w:val="28"/>
          <w:szCs w:val="28"/>
        </w:rPr>
        <w:t>ị</w:t>
      </w:r>
      <w:r>
        <w:rPr>
          <w:rFonts w:eastAsia="Calibri"/>
          <w:sz w:val="28"/>
          <w:szCs w:val="28"/>
        </w:rPr>
        <w:t>nh s</w:t>
      </w:r>
      <w:r>
        <w:rPr>
          <w:rFonts w:eastAsia="Calibri"/>
          <w:sz w:val="28"/>
          <w:szCs w:val="28"/>
        </w:rPr>
        <w:t>ố</w:t>
      </w:r>
      <w:r>
        <w:rPr>
          <w:rFonts w:eastAsia="Calibri"/>
          <w:sz w:val="28"/>
          <w:szCs w:val="28"/>
        </w:rPr>
        <w:t xml:space="preserve"> 188/2025/NĐ-CP ngày 01 tháng 7 năm 2025 c</w:t>
      </w:r>
      <w:r>
        <w:rPr>
          <w:rFonts w:eastAsia="Calibri"/>
          <w:sz w:val="28"/>
          <w:szCs w:val="28"/>
        </w:rPr>
        <w:t>ủ</w:t>
      </w:r>
      <w:r>
        <w:rPr>
          <w:rFonts w:eastAsia="Calibri"/>
          <w:sz w:val="28"/>
          <w:szCs w:val="28"/>
        </w:rPr>
        <w:t>a Chính ph</w:t>
      </w:r>
      <w:r>
        <w:rPr>
          <w:rFonts w:eastAsia="Calibri"/>
          <w:sz w:val="28"/>
          <w:szCs w:val="28"/>
        </w:rPr>
        <w:t>ủ</w:t>
      </w:r>
      <w:r>
        <w:rPr>
          <w:rFonts w:eastAsia="Calibri"/>
          <w:sz w:val="28"/>
          <w:szCs w:val="28"/>
        </w:rPr>
        <w:t xml:space="preserve"> quy đ</w:t>
      </w:r>
      <w:r>
        <w:rPr>
          <w:rFonts w:eastAsia="Calibri"/>
          <w:sz w:val="28"/>
          <w:szCs w:val="28"/>
        </w:rPr>
        <w:t>ị</w:t>
      </w:r>
      <w:r>
        <w:rPr>
          <w:rFonts w:eastAsia="Calibri"/>
          <w:sz w:val="28"/>
          <w:szCs w:val="28"/>
        </w:rPr>
        <w:t>nh chi ti</w:t>
      </w:r>
      <w:r>
        <w:rPr>
          <w:rFonts w:eastAsia="Calibri"/>
          <w:sz w:val="28"/>
          <w:szCs w:val="28"/>
        </w:rPr>
        <w:t>ế</w:t>
      </w:r>
      <w:r>
        <w:rPr>
          <w:rFonts w:eastAsia="Calibri"/>
          <w:sz w:val="28"/>
          <w:szCs w:val="28"/>
        </w:rPr>
        <w:t>t và hư</w:t>
      </w:r>
      <w:r>
        <w:rPr>
          <w:rFonts w:eastAsia="Calibri"/>
          <w:sz w:val="28"/>
          <w:szCs w:val="28"/>
        </w:rPr>
        <w:t>ớ</w:t>
      </w:r>
      <w:r>
        <w:rPr>
          <w:rFonts w:eastAsia="Calibri"/>
          <w:sz w:val="28"/>
          <w:szCs w:val="28"/>
        </w:rPr>
        <w:t>ng d</w:t>
      </w:r>
      <w:r>
        <w:rPr>
          <w:rFonts w:eastAsia="Calibri"/>
          <w:sz w:val="28"/>
          <w:szCs w:val="28"/>
        </w:rPr>
        <w:t>ẫ</w:t>
      </w:r>
      <w:r>
        <w:rPr>
          <w:rFonts w:eastAsia="Calibri"/>
          <w:sz w:val="28"/>
          <w:szCs w:val="28"/>
        </w:rPr>
        <w:t>n thi hành m</w:t>
      </w:r>
      <w:r>
        <w:rPr>
          <w:rFonts w:eastAsia="Calibri"/>
          <w:sz w:val="28"/>
          <w:szCs w:val="28"/>
        </w:rPr>
        <w:t>ộ</w:t>
      </w:r>
      <w:r>
        <w:rPr>
          <w:rFonts w:eastAsia="Calibri"/>
          <w:sz w:val="28"/>
          <w:szCs w:val="28"/>
        </w:rPr>
        <w:t>t s</w:t>
      </w:r>
      <w:r>
        <w:rPr>
          <w:rFonts w:eastAsia="Calibri"/>
          <w:sz w:val="28"/>
          <w:szCs w:val="28"/>
        </w:rPr>
        <w:t>ố</w:t>
      </w:r>
      <w:r>
        <w:rPr>
          <w:rFonts w:eastAsia="Calibri"/>
          <w:sz w:val="28"/>
          <w:szCs w:val="28"/>
        </w:rPr>
        <w:t xml:space="preserve"> đi</w:t>
      </w:r>
      <w:r>
        <w:rPr>
          <w:rFonts w:eastAsia="Calibri"/>
          <w:sz w:val="28"/>
          <w:szCs w:val="28"/>
        </w:rPr>
        <w:t>ề</w:t>
      </w:r>
      <w:r>
        <w:rPr>
          <w:rFonts w:eastAsia="Calibri"/>
          <w:sz w:val="28"/>
          <w:szCs w:val="28"/>
        </w:rPr>
        <w:t>u c</w:t>
      </w:r>
      <w:r>
        <w:rPr>
          <w:rFonts w:eastAsia="Calibri"/>
          <w:sz w:val="28"/>
          <w:szCs w:val="28"/>
        </w:rPr>
        <w:t>ủ</w:t>
      </w:r>
      <w:r>
        <w:rPr>
          <w:rFonts w:eastAsia="Calibri"/>
          <w:sz w:val="28"/>
          <w:szCs w:val="28"/>
        </w:rPr>
        <w:t>a Lu</w:t>
      </w:r>
      <w:r>
        <w:rPr>
          <w:rFonts w:eastAsia="Calibri"/>
          <w:sz w:val="28"/>
          <w:szCs w:val="28"/>
        </w:rPr>
        <w:t>ậ</w:t>
      </w:r>
      <w:r>
        <w:rPr>
          <w:rFonts w:eastAsia="Calibri"/>
          <w:sz w:val="28"/>
          <w:szCs w:val="28"/>
        </w:rPr>
        <w:t>t B</w:t>
      </w:r>
      <w:r>
        <w:rPr>
          <w:rFonts w:eastAsia="Calibri"/>
          <w:sz w:val="28"/>
          <w:szCs w:val="28"/>
        </w:rPr>
        <w:t>ả</w:t>
      </w:r>
      <w:r>
        <w:rPr>
          <w:rFonts w:eastAsia="Calibri"/>
          <w:sz w:val="28"/>
          <w:szCs w:val="28"/>
        </w:rPr>
        <w:t>o hi</w:t>
      </w:r>
      <w:r>
        <w:rPr>
          <w:rFonts w:eastAsia="Calibri"/>
          <w:sz w:val="28"/>
          <w:szCs w:val="28"/>
        </w:rPr>
        <w:t>ể</w:t>
      </w:r>
      <w:r>
        <w:rPr>
          <w:rFonts w:eastAsia="Calibri"/>
          <w:sz w:val="28"/>
          <w:szCs w:val="28"/>
        </w:rPr>
        <w:t>m y t</w:t>
      </w:r>
      <w:r>
        <w:rPr>
          <w:rFonts w:eastAsia="Calibri"/>
          <w:sz w:val="28"/>
          <w:szCs w:val="28"/>
        </w:rPr>
        <w:t>ế</w:t>
      </w:r>
      <w:r>
        <w:rPr>
          <w:sz w:val="28"/>
          <w:szCs w:val="28"/>
        </w:rPr>
        <w:t xml:space="preserve"> (sau đây gọi là Nghị định số </w:t>
      </w:r>
      <w:r>
        <w:rPr>
          <w:rFonts w:eastAsia="Calibri"/>
          <w:sz w:val="28"/>
          <w:szCs w:val="28"/>
        </w:rPr>
        <w:t>188/2025/NĐ-CP</w:t>
      </w:r>
      <w:r>
        <w:rPr>
          <w:sz w:val="28"/>
          <w:szCs w:val="28"/>
        </w:rPr>
        <w:t>).</w:t>
      </w:r>
    </w:p>
    <w:p w:rsidR="005137CD" w:rsidRDefault="006543D0">
      <w:pPr>
        <w:spacing w:before="120" w:after="120" w:line="264" w:lineRule="auto"/>
        <w:ind w:firstLine="567"/>
        <w:jc w:val="both"/>
        <w:rPr>
          <w:sz w:val="28"/>
          <w:szCs w:val="28"/>
        </w:rPr>
      </w:pPr>
      <w:r>
        <w:rPr>
          <w:b/>
          <w:bCs/>
          <w:sz w:val="28"/>
          <w:szCs w:val="28"/>
        </w:rPr>
        <w:t>3. Thẩm quyền lập danh sách</w:t>
      </w:r>
    </w:p>
    <w:p w:rsidR="005137CD" w:rsidRDefault="006543D0">
      <w:pPr>
        <w:spacing w:before="120" w:after="120" w:line="264" w:lineRule="auto"/>
        <w:ind w:firstLine="567"/>
        <w:jc w:val="both"/>
        <w:rPr>
          <w:sz w:val="28"/>
          <w:szCs w:val="28"/>
        </w:rPr>
      </w:pPr>
      <w:r>
        <w:rPr>
          <w:sz w:val="28"/>
          <w:szCs w:val="28"/>
        </w:rPr>
        <w:t>Ủy ban nhân cấp</w:t>
      </w:r>
      <w:r>
        <w:rPr>
          <w:sz w:val="28"/>
          <w:szCs w:val="28"/>
        </w:rPr>
        <w:t xml:space="preserve"> xã, phường, lập danh sách (sau đây gọi là Ủy ban nhân dân cấp xã).</w:t>
      </w:r>
    </w:p>
    <w:p w:rsidR="005137CD" w:rsidRDefault="006543D0">
      <w:pPr>
        <w:spacing w:before="120" w:after="120" w:line="264" w:lineRule="auto"/>
        <w:ind w:firstLine="567"/>
        <w:jc w:val="both"/>
        <w:rPr>
          <w:sz w:val="28"/>
          <w:szCs w:val="28"/>
        </w:rPr>
      </w:pPr>
      <w:r>
        <w:rPr>
          <w:b/>
          <w:bCs/>
          <w:sz w:val="28"/>
          <w:szCs w:val="28"/>
        </w:rPr>
        <w:t>4. Giấy tờ làm căn cứ xác định đối tượng tham gia bảo hiểm y tế</w:t>
      </w:r>
    </w:p>
    <w:p w:rsidR="005137CD" w:rsidRDefault="006543D0">
      <w:pPr>
        <w:spacing w:before="120" w:after="120" w:line="264" w:lineRule="auto"/>
        <w:ind w:firstLine="567"/>
        <w:jc w:val="both"/>
        <w:rPr>
          <w:spacing w:val="-2"/>
          <w:sz w:val="28"/>
          <w:szCs w:val="28"/>
        </w:rPr>
      </w:pPr>
      <w:r>
        <w:rPr>
          <w:spacing w:val="-2"/>
          <w:sz w:val="28"/>
          <w:szCs w:val="28"/>
        </w:rPr>
        <w:t xml:space="preserve">Căn cứ vào Quyết định xuất ngũ, phục viên; lý lịch quân nhân; quyết định nhập ngũ, tuyển dụng; điều động công tác, bổ nhiệm </w:t>
      </w:r>
      <w:r>
        <w:rPr>
          <w:spacing w:val="-2"/>
          <w:sz w:val="28"/>
          <w:szCs w:val="28"/>
        </w:rPr>
        <w:t xml:space="preserve">chức vụ; giao nhiệm vụ; giấy đăng ký quân nhân dự </w:t>
      </w:r>
      <w:proofErr w:type="gramStart"/>
      <w:r>
        <w:rPr>
          <w:spacing w:val="-2"/>
          <w:sz w:val="28"/>
          <w:szCs w:val="28"/>
        </w:rPr>
        <w:t>bị,…</w:t>
      </w:r>
      <w:proofErr w:type="gramEnd"/>
      <w:r>
        <w:rPr>
          <w:spacing w:val="-2"/>
          <w:sz w:val="28"/>
          <w:szCs w:val="28"/>
        </w:rPr>
        <w:t xml:space="preserve"> hoặc giấy xác nhận của cơ quan, đơn vị có thẩm quyền.</w:t>
      </w:r>
    </w:p>
    <w:p w:rsidR="005137CD" w:rsidRDefault="006543D0">
      <w:pPr>
        <w:spacing w:before="120" w:after="120" w:line="264" w:lineRule="auto"/>
        <w:ind w:firstLine="567"/>
        <w:jc w:val="both"/>
        <w:rPr>
          <w:sz w:val="28"/>
          <w:szCs w:val="28"/>
        </w:rPr>
      </w:pPr>
      <w:r>
        <w:rPr>
          <w:b/>
          <w:bCs/>
          <w:sz w:val="28"/>
          <w:szCs w:val="28"/>
        </w:rPr>
        <w:t>5. Trình tự lập danh sách</w:t>
      </w:r>
    </w:p>
    <w:p w:rsidR="005137CD" w:rsidRDefault="006543D0">
      <w:pPr>
        <w:spacing w:before="120" w:after="120" w:line="264" w:lineRule="auto"/>
        <w:ind w:firstLine="567"/>
        <w:jc w:val="both"/>
        <w:rPr>
          <w:bCs/>
          <w:iCs/>
          <w:sz w:val="28"/>
          <w:szCs w:val="28"/>
        </w:rPr>
      </w:pPr>
      <w:r>
        <w:rPr>
          <w:bCs/>
          <w:iCs/>
          <w:sz w:val="28"/>
          <w:szCs w:val="28"/>
        </w:rPr>
        <w:t xml:space="preserve">- UBND các xã, phường: Rà soát, thống kê </w:t>
      </w:r>
      <w:r>
        <w:rPr>
          <w:sz w:val="28"/>
          <w:szCs w:val="28"/>
        </w:rPr>
        <w:t xml:space="preserve">và lập danh sách đối tượng </w:t>
      </w:r>
      <w:r>
        <w:rPr>
          <w:bCs/>
          <w:iCs/>
          <w:sz w:val="28"/>
          <w:szCs w:val="28"/>
        </w:rPr>
        <w:t>được hỗ trợ đóng BHYT (theo Mẫu D03-TS) gửi cơ quan B</w:t>
      </w:r>
      <w:r>
        <w:rPr>
          <w:bCs/>
          <w:iCs/>
          <w:sz w:val="28"/>
          <w:szCs w:val="28"/>
        </w:rPr>
        <w:t xml:space="preserve">HXH khu vực. </w:t>
      </w:r>
      <w:r>
        <w:rPr>
          <w:sz w:val="28"/>
          <w:szCs w:val="28"/>
        </w:rPr>
        <w:t>Định kỳ hàng quý rà soát tăng, giảm đối tượng tham gia bảo hiểm y tế để gửi cơ quan Bảo hiểm xã hội theo phân cấp quản lý.</w:t>
      </w:r>
    </w:p>
    <w:p w:rsidR="005137CD" w:rsidRDefault="006543D0">
      <w:pPr>
        <w:spacing w:before="120" w:after="120" w:line="264" w:lineRule="auto"/>
        <w:ind w:firstLine="567"/>
        <w:jc w:val="both"/>
        <w:rPr>
          <w:sz w:val="28"/>
          <w:szCs w:val="28"/>
        </w:rPr>
      </w:pPr>
      <w:r>
        <w:rPr>
          <w:sz w:val="28"/>
          <w:szCs w:val="28"/>
        </w:rPr>
        <w:t xml:space="preserve">- Cơ quan Bảo hiểm xã hội theo phân cấp quản lý: Trong thời hạn 05 (năm) ngày làm việc, kể từ ngày nhận được danh sách, </w:t>
      </w:r>
      <w:r>
        <w:rPr>
          <w:sz w:val="28"/>
          <w:szCs w:val="28"/>
        </w:rPr>
        <w:t xml:space="preserve">tiến hành rà soát, kiểm tra danh sách. Trường hợp phát hiện sai đối tượng hoặc thông tin của đối tượng không đầy đủ, thì chuyển Ủy ban nhân dân cấp xã lập lại danh sách. Trong thời hạn 10 (mười) </w:t>
      </w:r>
      <w:r>
        <w:rPr>
          <w:sz w:val="28"/>
          <w:szCs w:val="28"/>
        </w:rPr>
        <w:lastRenderedPageBreak/>
        <w:t>ngày làm việc, kể từ ngày nhận danh sách, thực hiện cấp thẻ b</w:t>
      </w:r>
      <w:r>
        <w:rPr>
          <w:sz w:val="28"/>
          <w:szCs w:val="28"/>
        </w:rPr>
        <w:t>ảo hiểm y tế cho đối tượng; chuyển danh sách kèm theo thẻ bảo hiểm y tế của đối tượng cho Ủy ban nhân dân cấp xã để bàn giao cho đối tượng. Trường hợp cấp thẻ bảo hiểm y tế bản điện tử, cơ quan bảo hiểm xã hội trả kết quả vào ứng dụng bảo hiểm xã hội (VssI</w:t>
      </w:r>
      <w:r>
        <w:rPr>
          <w:sz w:val="28"/>
          <w:szCs w:val="28"/>
        </w:rPr>
        <w:t>D), hòm thư điện tử cá nhân (email), liên kết với tài khoản định danh điện tử (VNeID) mức 2.</w:t>
      </w:r>
      <w:r>
        <w:rPr>
          <w:bCs/>
          <w:iCs/>
          <w:sz w:val="28"/>
          <w:szCs w:val="28"/>
        </w:rPr>
        <w:t xml:space="preserve"> </w:t>
      </w:r>
      <w:r>
        <w:rPr>
          <w:sz w:val="28"/>
          <w:szCs w:val="28"/>
        </w:rPr>
        <w:t>Hằng quý, tổng hợp số thẻ BHYT đã phát hành và số tiền phải đóng theo Mẫu 01 - phụ lục ban hành theo Nghị định số 188/2025/NĐ-CP gửi Sở Tài chính chuyển kinh phí đ</w:t>
      </w:r>
      <w:r>
        <w:rPr>
          <w:sz w:val="28"/>
          <w:szCs w:val="28"/>
        </w:rPr>
        <w:t>óng bảo hiểm y tế từ nguồn ngân sách cấp tỉnh vào quỹ bảo hiểm y tế theo quy định; đồng thời gửi danh sách đối tượng đã được cấp thẻ bảo hiểm y tế cho Sở Nội vụ để theo dõi, quản lý.</w:t>
      </w:r>
    </w:p>
    <w:p w:rsidR="005137CD" w:rsidRDefault="006543D0">
      <w:pPr>
        <w:pStyle w:val="BodyText"/>
        <w:spacing w:before="120" w:line="264" w:lineRule="auto"/>
        <w:ind w:firstLine="567"/>
        <w:rPr>
          <w:b/>
          <w:bCs/>
          <w:sz w:val="28"/>
          <w:szCs w:val="28"/>
        </w:rPr>
      </w:pPr>
      <w:r>
        <w:rPr>
          <w:b/>
          <w:sz w:val="28"/>
          <w:szCs w:val="28"/>
        </w:rPr>
        <w:t>6. Mức hỗ trợ</w:t>
      </w:r>
      <w:r>
        <w:rPr>
          <w:b/>
          <w:bCs/>
          <w:sz w:val="28"/>
          <w:szCs w:val="28"/>
        </w:rPr>
        <w:t xml:space="preserve"> </w:t>
      </w:r>
    </w:p>
    <w:p w:rsidR="005137CD" w:rsidRDefault="006543D0">
      <w:pPr>
        <w:spacing w:before="120" w:after="120" w:line="264" w:lineRule="auto"/>
        <w:ind w:firstLine="567"/>
        <w:jc w:val="both"/>
        <w:rPr>
          <w:spacing w:val="-4"/>
          <w:sz w:val="28"/>
          <w:szCs w:val="26"/>
        </w:rPr>
      </w:pPr>
      <w:r>
        <w:rPr>
          <w:spacing w:val="-4"/>
          <w:sz w:val="28"/>
          <w:szCs w:val="26"/>
        </w:rPr>
        <w:t>Hỗ trợ 100% mức đóng bảo hiểm y tế hàng năm theo quy định.</w:t>
      </w:r>
    </w:p>
    <w:p w:rsidR="005137CD" w:rsidRDefault="006543D0">
      <w:pPr>
        <w:spacing w:before="120" w:after="120" w:line="264" w:lineRule="auto"/>
        <w:ind w:firstLine="567"/>
        <w:jc w:val="both"/>
        <w:rPr>
          <w:sz w:val="28"/>
          <w:szCs w:val="28"/>
        </w:rPr>
      </w:pPr>
      <w:r>
        <w:rPr>
          <w:bCs/>
          <w:sz w:val="28"/>
          <w:szCs w:val="28"/>
        </w:rPr>
        <w:t>Mức đóng BHYT = 4,5% x mức lương cơ sở tại thời điểm đóng x số tháng đóng (Số tháng đóng được tính</w:t>
      </w:r>
      <w:r>
        <w:rPr>
          <w:b/>
          <w:bCs/>
          <w:sz w:val="28"/>
          <w:szCs w:val="28"/>
          <w:lang w:val="vi-VN"/>
        </w:rPr>
        <w:t xml:space="preserve"> </w:t>
      </w:r>
      <w:r>
        <w:rPr>
          <w:sz w:val="28"/>
          <w:szCs w:val="28"/>
        </w:rPr>
        <w:t>từ ngày quyết định được phê duyệt đến hết năm tài chính, tính theo từng năm). Mức đóng của từng thời kỳ được điều chỉnh theo quy định của Chính phủ và mức l</w:t>
      </w:r>
      <w:r>
        <w:rPr>
          <w:sz w:val="28"/>
          <w:szCs w:val="28"/>
        </w:rPr>
        <w:t>ương cơ sở do Chính phủ quy định.</w:t>
      </w:r>
    </w:p>
    <w:p w:rsidR="005137CD" w:rsidRDefault="006543D0">
      <w:pPr>
        <w:spacing w:before="120" w:after="120" w:line="264" w:lineRule="auto"/>
        <w:ind w:firstLine="567"/>
        <w:jc w:val="both"/>
        <w:rPr>
          <w:b/>
          <w:sz w:val="28"/>
          <w:szCs w:val="28"/>
        </w:rPr>
      </w:pPr>
      <w:r>
        <w:rPr>
          <w:b/>
          <w:bCs/>
          <w:sz w:val="28"/>
          <w:szCs w:val="28"/>
        </w:rPr>
        <w:t>7. Thông tin cấp thẻ</w:t>
      </w:r>
    </w:p>
    <w:p w:rsidR="005137CD" w:rsidRDefault="006543D0">
      <w:pPr>
        <w:spacing w:before="120" w:after="120" w:line="264" w:lineRule="auto"/>
        <w:ind w:firstLine="567"/>
        <w:jc w:val="both"/>
        <w:rPr>
          <w:sz w:val="28"/>
          <w:szCs w:val="28"/>
        </w:rPr>
      </w:pPr>
      <w:r>
        <w:rPr>
          <w:bCs/>
          <w:sz w:val="28"/>
          <w:szCs w:val="28"/>
        </w:rPr>
        <w:t xml:space="preserve">Mã thẻ BHYT là BI; mã quyền lợi 4, </w:t>
      </w:r>
      <w:r>
        <w:rPr>
          <w:sz w:val="28"/>
          <w:szCs w:val="28"/>
        </w:rPr>
        <w:t>thẻ có giá trị sử dụng kể từ ngày 01 của tháng được phê duyệt đến hết năm tài chính.</w:t>
      </w:r>
    </w:p>
    <w:p w:rsidR="005137CD" w:rsidRDefault="006543D0">
      <w:pPr>
        <w:spacing w:before="120" w:after="120" w:line="264" w:lineRule="auto"/>
        <w:ind w:firstLine="567"/>
        <w:jc w:val="both"/>
        <w:rPr>
          <w:b/>
          <w:bCs/>
          <w:sz w:val="28"/>
          <w:szCs w:val="28"/>
        </w:rPr>
      </w:pPr>
      <w:r>
        <w:rPr>
          <w:b/>
          <w:bCs/>
          <w:sz w:val="28"/>
          <w:szCs w:val="28"/>
        </w:rPr>
        <w:t>8. Thủ tục cấp thẻ Bảo hiểm y tế</w:t>
      </w:r>
    </w:p>
    <w:p w:rsidR="005137CD" w:rsidRDefault="006543D0">
      <w:pPr>
        <w:spacing w:before="120" w:after="120" w:line="264" w:lineRule="auto"/>
        <w:ind w:firstLine="567"/>
        <w:jc w:val="both"/>
        <w:rPr>
          <w:sz w:val="28"/>
          <w:szCs w:val="28"/>
        </w:rPr>
      </w:pPr>
      <w:bookmarkStart w:id="1" w:name="_Hlk218084775"/>
      <w:r>
        <w:rPr>
          <w:sz w:val="28"/>
          <w:szCs w:val="28"/>
        </w:rPr>
        <w:t xml:space="preserve">Thực hiện theo Điều 11 </w:t>
      </w:r>
      <w:r>
        <w:rPr>
          <w:rFonts w:eastAsia="Calibri"/>
          <w:sz w:val="28"/>
          <w:szCs w:val="28"/>
        </w:rPr>
        <w:t>Ngh</w:t>
      </w:r>
      <w:r>
        <w:rPr>
          <w:rFonts w:eastAsia="Calibri"/>
          <w:sz w:val="28"/>
          <w:szCs w:val="28"/>
        </w:rPr>
        <w:t>ị</w:t>
      </w:r>
      <w:r>
        <w:rPr>
          <w:rFonts w:eastAsia="Calibri"/>
          <w:sz w:val="28"/>
          <w:szCs w:val="28"/>
        </w:rPr>
        <w:t xml:space="preserve"> đ</w:t>
      </w:r>
      <w:r>
        <w:rPr>
          <w:rFonts w:eastAsia="Calibri"/>
          <w:sz w:val="28"/>
          <w:szCs w:val="28"/>
        </w:rPr>
        <w:t>ị</w:t>
      </w:r>
      <w:r>
        <w:rPr>
          <w:rFonts w:eastAsia="Calibri"/>
          <w:sz w:val="28"/>
          <w:szCs w:val="28"/>
        </w:rPr>
        <w:t>nh s</w:t>
      </w:r>
      <w:r>
        <w:rPr>
          <w:rFonts w:eastAsia="Calibri"/>
          <w:sz w:val="28"/>
          <w:szCs w:val="28"/>
        </w:rPr>
        <w:t>ố</w:t>
      </w:r>
      <w:r>
        <w:rPr>
          <w:rFonts w:eastAsia="Calibri"/>
          <w:sz w:val="28"/>
          <w:szCs w:val="28"/>
        </w:rPr>
        <w:t xml:space="preserve"> 188/2025/NĐ-CP ngày 01 tháng 7 năm 2025 c</w:t>
      </w:r>
      <w:r>
        <w:rPr>
          <w:rFonts w:eastAsia="Calibri"/>
          <w:sz w:val="28"/>
          <w:szCs w:val="28"/>
        </w:rPr>
        <w:t>ủ</w:t>
      </w:r>
      <w:r>
        <w:rPr>
          <w:rFonts w:eastAsia="Calibri"/>
          <w:sz w:val="28"/>
          <w:szCs w:val="28"/>
        </w:rPr>
        <w:t>a Chính ph</w:t>
      </w:r>
      <w:r>
        <w:rPr>
          <w:rFonts w:eastAsia="Calibri"/>
          <w:sz w:val="28"/>
          <w:szCs w:val="28"/>
        </w:rPr>
        <w:t>ủ</w:t>
      </w:r>
      <w:r>
        <w:rPr>
          <w:rFonts w:eastAsia="Calibri"/>
          <w:sz w:val="28"/>
          <w:szCs w:val="28"/>
        </w:rPr>
        <w:t xml:space="preserve"> quy đ</w:t>
      </w:r>
      <w:r>
        <w:rPr>
          <w:rFonts w:eastAsia="Calibri"/>
          <w:sz w:val="28"/>
          <w:szCs w:val="28"/>
        </w:rPr>
        <w:t>ị</w:t>
      </w:r>
      <w:r>
        <w:rPr>
          <w:rFonts w:eastAsia="Calibri"/>
          <w:sz w:val="28"/>
          <w:szCs w:val="28"/>
        </w:rPr>
        <w:t>nh chi ti</w:t>
      </w:r>
      <w:r>
        <w:rPr>
          <w:rFonts w:eastAsia="Calibri"/>
          <w:sz w:val="28"/>
          <w:szCs w:val="28"/>
        </w:rPr>
        <w:t>ế</w:t>
      </w:r>
      <w:r>
        <w:rPr>
          <w:rFonts w:eastAsia="Calibri"/>
          <w:sz w:val="28"/>
          <w:szCs w:val="28"/>
        </w:rPr>
        <w:t>t và hư</w:t>
      </w:r>
      <w:r>
        <w:rPr>
          <w:rFonts w:eastAsia="Calibri"/>
          <w:sz w:val="28"/>
          <w:szCs w:val="28"/>
        </w:rPr>
        <w:t>ớ</w:t>
      </w:r>
      <w:r>
        <w:rPr>
          <w:rFonts w:eastAsia="Calibri"/>
          <w:sz w:val="28"/>
          <w:szCs w:val="28"/>
        </w:rPr>
        <w:t>ng d</w:t>
      </w:r>
      <w:r>
        <w:rPr>
          <w:rFonts w:eastAsia="Calibri"/>
          <w:sz w:val="28"/>
          <w:szCs w:val="28"/>
        </w:rPr>
        <w:t>ẫ</w:t>
      </w:r>
      <w:r>
        <w:rPr>
          <w:rFonts w:eastAsia="Calibri"/>
          <w:sz w:val="28"/>
          <w:szCs w:val="28"/>
        </w:rPr>
        <w:t>n thi hành m</w:t>
      </w:r>
      <w:r>
        <w:rPr>
          <w:rFonts w:eastAsia="Calibri"/>
          <w:sz w:val="28"/>
          <w:szCs w:val="28"/>
        </w:rPr>
        <w:t>ộ</w:t>
      </w:r>
      <w:r>
        <w:rPr>
          <w:rFonts w:eastAsia="Calibri"/>
          <w:sz w:val="28"/>
          <w:szCs w:val="28"/>
        </w:rPr>
        <w:t>t s</w:t>
      </w:r>
      <w:r>
        <w:rPr>
          <w:rFonts w:eastAsia="Calibri"/>
          <w:sz w:val="28"/>
          <w:szCs w:val="28"/>
        </w:rPr>
        <w:t>ố</w:t>
      </w:r>
      <w:r>
        <w:rPr>
          <w:rFonts w:eastAsia="Calibri"/>
          <w:sz w:val="28"/>
          <w:szCs w:val="28"/>
        </w:rPr>
        <w:t xml:space="preserve"> đi</w:t>
      </w:r>
      <w:r>
        <w:rPr>
          <w:rFonts w:eastAsia="Calibri"/>
          <w:sz w:val="28"/>
          <w:szCs w:val="28"/>
        </w:rPr>
        <w:t>ề</w:t>
      </w:r>
      <w:r>
        <w:rPr>
          <w:rFonts w:eastAsia="Calibri"/>
          <w:sz w:val="28"/>
          <w:szCs w:val="28"/>
        </w:rPr>
        <w:t>u c</w:t>
      </w:r>
      <w:r>
        <w:rPr>
          <w:rFonts w:eastAsia="Calibri"/>
          <w:sz w:val="28"/>
          <w:szCs w:val="28"/>
        </w:rPr>
        <w:t>ủ</w:t>
      </w:r>
      <w:r>
        <w:rPr>
          <w:rFonts w:eastAsia="Calibri"/>
          <w:sz w:val="28"/>
          <w:szCs w:val="28"/>
        </w:rPr>
        <w:t>a Lu</w:t>
      </w:r>
      <w:r>
        <w:rPr>
          <w:rFonts w:eastAsia="Calibri"/>
          <w:sz w:val="28"/>
          <w:szCs w:val="28"/>
        </w:rPr>
        <w:t>ậ</w:t>
      </w:r>
      <w:r>
        <w:rPr>
          <w:rFonts w:eastAsia="Calibri"/>
          <w:sz w:val="28"/>
          <w:szCs w:val="28"/>
        </w:rPr>
        <w:t>t B</w:t>
      </w:r>
      <w:r>
        <w:rPr>
          <w:rFonts w:eastAsia="Calibri"/>
          <w:sz w:val="28"/>
          <w:szCs w:val="28"/>
        </w:rPr>
        <w:t>ả</w:t>
      </w:r>
      <w:r>
        <w:rPr>
          <w:rFonts w:eastAsia="Calibri"/>
          <w:sz w:val="28"/>
          <w:szCs w:val="28"/>
        </w:rPr>
        <w:t>o hi</w:t>
      </w:r>
      <w:r>
        <w:rPr>
          <w:rFonts w:eastAsia="Calibri"/>
          <w:sz w:val="28"/>
          <w:szCs w:val="28"/>
        </w:rPr>
        <w:t>ể</w:t>
      </w:r>
      <w:r>
        <w:rPr>
          <w:rFonts w:eastAsia="Calibri"/>
          <w:sz w:val="28"/>
          <w:szCs w:val="28"/>
        </w:rPr>
        <w:t>m y t</w:t>
      </w:r>
      <w:r>
        <w:rPr>
          <w:rFonts w:eastAsia="Calibri"/>
          <w:sz w:val="28"/>
          <w:szCs w:val="28"/>
        </w:rPr>
        <w:t>ế</w:t>
      </w:r>
      <w:r>
        <w:rPr>
          <w:rFonts w:eastAsia="Calibri"/>
          <w:sz w:val="28"/>
          <w:szCs w:val="28"/>
        </w:rPr>
        <w:t>.</w:t>
      </w:r>
      <w:bookmarkEnd w:id="1"/>
    </w:p>
    <w:p w:rsidR="005137CD" w:rsidRDefault="006543D0">
      <w:pPr>
        <w:spacing w:before="120" w:after="120" w:line="264" w:lineRule="auto"/>
        <w:ind w:firstLine="567"/>
        <w:jc w:val="both"/>
        <w:rPr>
          <w:b/>
          <w:bCs/>
          <w:sz w:val="28"/>
          <w:szCs w:val="28"/>
        </w:rPr>
      </w:pPr>
      <w:r>
        <w:rPr>
          <w:b/>
          <w:bCs/>
          <w:sz w:val="28"/>
          <w:szCs w:val="28"/>
        </w:rPr>
        <w:t>Điều 2. Hiệu lực thi hành</w:t>
      </w:r>
    </w:p>
    <w:p w:rsidR="005137CD" w:rsidRDefault="006543D0">
      <w:pPr>
        <w:spacing w:before="120" w:after="120" w:line="264" w:lineRule="auto"/>
        <w:ind w:firstLine="567"/>
        <w:jc w:val="both"/>
        <w:rPr>
          <w:sz w:val="28"/>
          <w:szCs w:val="28"/>
        </w:rPr>
      </w:pPr>
      <w:r>
        <w:rPr>
          <w:sz w:val="28"/>
          <w:szCs w:val="28"/>
        </w:rPr>
        <w:t>Quyết định này có hiệu lực thi hành kể từ ngày 01/3/2026.</w:t>
      </w:r>
    </w:p>
    <w:p w:rsidR="005137CD" w:rsidRDefault="006543D0">
      <w:pPr>
        <w:spacing w:before="120" w:after="120" w:line="264" w:lineRule="auto"/>
        <w:ind w:firstLine="567"/>
        <w:jc w:val="both"/>
        <w:rPr>
          <w:b/>
          <w:bCs/>
          <w:sz w:val="28"/>
          <w:szCs w:val="28"/>
        </w:rPr>
      </w:pPr>
      <w:r>
        <w:rPr>
          <w:b/>
          <w:bCs/>
          <w:sz w:val="28"/>
          <w:szCs w:val="28"/>
        </w:rPr>
        <w:t>Điều 3. Trách nhiệm của các c</w:t>
      </w:r>
      <w:r>
        <w:rPr>
          <w:b/>
          <w:bCs/>
          <w:sz w:val="28"/>
          <w:szCs w:val="28"/>
        </w:rPr>
        <w:t>ơ quan, đơn vị liên quan</w:t>
      </w:r>
    </w:p>
    <w:p w:rsidR="005137CD" w:rsidRDefault="006543D0">
      <w:pPr>
        <w:spacing w:before="120" w:after="120" w:line="264" w:lineRule="auto"/>
        <w:ind w:firstLine="567"/>
        <w:jc w:val="both"/>
        <w:rPr>
          <w:sz w:val="28"/>
          <w:szCs w:val="28"/>
        </w:rPr>
      </w:pPr>
      <w:r>
        <w:rPr>
          <w:sz w:val="28"/>
          <w:szCs w:val="28"/>
        </w:rPr>
        <w:t xml:space="preserve">1. Sở Nội vụ làm đầu mối theo dõi, đôn đốc, tổng hợp tình hình triển khai thực hiện Quyết định này. </w:t>
      </w:r>
    </w:p>
    <w:p w:rsidR="005137CD" w:rsidRDefault="006543D0">
      <w:pPr>
        <w:spacing w:before="120" w:after="120" w:line="264" w:lineRule="auto"/>
        <w:ind w:firstLine="567"/>
        <w:jc w:val="both"/>
        <w:rPr>
          <w:sz w:val="28"/>
          <w:szCs w:val="28"/>
        </w:rPr>
      </w:pPr>
      <w:r>
        <w:rPr>
          <w:sz w:val="28"/>
          <w:szCs w:val="28"/>
        </w:rPr>
        <w:t>2. Bảo hiểm xã hội tỉnh: Hàng quý, tổng hợp số thẻ bảo hiểm y tế đã phát hành và số tiền đóng, hỗ trợ đóng gửi Sở Tài chính để chu</w:t>
      </w:r>
      <w:r>
        <w:rPr>
          <w:sz w:val="28"/>
          <w:szCs w:val="28"/>
        </w:rPr>
        <w:t>yển kinh phí vào quỹ bảo hiểm y tế theo quy định của pháp luật; đồng thời gửi danh sách đối tượng đã được cấp thẻ bảo hiểm y tế cho Sở Nội vụ để theo dõi, quản lý.</w:t>
      </w:r>
    </w:p>
    <w:p w:rsidR="005137CD" w:rsidRDefault="006543D0">
      <w:pPr>
        <w:spacing w:before="120" w:after="120" w:line="264" w:lineRule="auto"/>
        <w:ind w:firstLine="567"/>
        <w:jc w:val="both"/>
        <w:rPr>
          <w:sz w:val="28"/>
          <w:szCs w:val="28"/>
        </w:rPr>
      </w:pPr>
      <w:r>
        <w:rPr>
          <w:sz w:val="28"/>
          <w:szCs w:val="28"/>
        </w:rPr>
        <w:t xml:space="preserve">3. Sở Tài chính: Chuyển kinh phí đóng bảo hiểm y tế từ nguồn ngân sách cấp tỉnh vào quỹ bảo </w:t>
      </w:r>
      <w:r>
        <w:rPr>
          <w:sz w:val="28"/>
          <w:szCs w:val="28"/>
        </w:rPr>
        <w:t>hiểm y tế theo quy định.</w:t>
      </w:r>
    </w:p>
    <w:p w:rsidR="005137CD" w:rsidRDefault="006543D0">
      <w:pPr>
        <w:spacing w:before="120" w:after="120" w:line="264" w:lineRule="auto"/>
        <w:ind w:firstLine="567"/>
        <w:jc w:val="both"/>
        <w:rPr>
          <w:bCs/>
          <w:iCs/>
          <w:sz w:val="28"/>
          <w:szCs w:val="28"/>
        </w:rPr>
      </w:pPr>
      <w:r>
        <w:rPr>
          <w:bCs/>
          <w:iCs/>
          <w:sz w:val="28"/>
          <w:szCs w:val="28"/>
        </w:rPr>
        <w:t xml:space="preserve">4. UBND các xã, phường: </w:t>
      </w:r>
      <w:r>
        <w:rPr>
          <w:sz w:val="28"/>
          <w:szCs w:val="28"/>
        </w:rPr>
        <w:t>Định kỳ hàng quý rà soát tăng, giảm đối tượng tham gia bảo hiểm y tế để gửi cơ quan Bảo hiểm xã hội theo phân cấp quản lý.</w:t>
      </w:r>
    </w:p>
    <w:p w:rsidR="005137CD" w:rsidRDefault="006543D0">
      <w:pPr>
        <w:spacing w:before="120" w:after="120" w:line="264" w:lineRule="auto"/>
        <w:ind w:firstLine="567"/>
        <w:jc w:val="both"/>
        <w:rPr>
          <w:sz w:val="28"/>
          <w:szCs w:val="28"/>
        </w:rPr>
      </w:pPr>
      <w:r>
        <w:rPr>
          <w:sz w:val="28"/>
          <w:szCs w:val="28"/>
        </w:rPr>
        <w:lastRenderedPageBreak/>
        <w:t xml:space="preserve">5. Thủ trưởng các Sở, ngành tỉnh và các cơ quan, đơn vị liên quan chịu trách nhiệm </w:t>
      </w:r>
      <w:r>
        <w:rPr>
          <w:sz w:val="28"/>
          <w:szCs w:val="28"/>
        </w:rPr>
        <w:t>trước UBND tỉnh về kết quả triển khai thực hiện Quyết định này. Trong quá trình triển khai thực hiện, nếu có vướng mắc đề nghị phản ánh về Sở Nội vụ để tổng hợp, tham mưu UBND tỉnh điều chỉnh và bổ sung cho phù hợp.</w:t>
      </w:r>
    </w:p>
    <w:p w:rsidR="005137CD" w:rsidRDefault="006543D0">
      <w:pPr>
        <w:spacing w:before="120" w:after="120" w:line="264" w:lineRule="auto"/>
        <w:ind w:firstLine="567"/>
        <w:jc w:val="both"/>
        <w:rPr>
          <w:b/>
          <w:bCs/>
          <w:sz w:val="28"/>
          <w:szCs w:val="28"/>
        </w:rPr>
      </w:pPr>
      <w:r>
        <w:rPr>
          <w:b/>
          <w:bCs/>
          <w:sz w:val="28"/>
          <w:szCs w:val="28"/>
        </w:rPr>
        <w:t xml:space="preserve">Điều 4. </w:t>
      </w:r>
      <w:r>
        <w:rPr>
          <w:sz w:val="28"/>
          <w:szCs w:val="28"/>
        </w:rPr>
        <w:t xml:space="preserve">Chánh Văn phòng UBND tỉnh, Giám </w:t>
      </w:r>
      <w:r>
        <w:rPr>
          <w:sz w:val="28"/>
          <w:szCs w:val="28"/>
        </w:rPr>
        <w:t>đốc Sở Nội vụ, Thủ trưởng các sở, ngành tỉnh; Chủ tịch UBND các xã, phường và các cơ quan, đơn vị có liên quan chịu trách nhiệm thi hành Quyết định này./.</w:t>
      </w:r>
    </w:p>
    <w:p w:rsidR="005137CD" w:rsidRDefault="005137CD">
      <w:pPr>
        <w:spacing w:before="120"/>
        <w:ind w:firstLine="720"/>
        <w:jc w:val="both"/>
        <w:rPr>
          <w:sz w:val="14"/>
          <w:szCs w:val="28"/>
          <w:lang w:val="pt-BR"/>
        </w:rPr>
      </w:pPr>
    </w:p>
    <w:tbl>
      <w:tblPr>
        <w:tblW w:w="9101" w:type="dxa"/>
        <w:tblInd w:w="127" w:type="dxa"/>
        <w:tblLayout w:type="fixed"/>
        <w:tblLook w:val="0000" w:firstRow="0" w:lastRow="0" w:firstColumn="0" w:lastColumn="0" w:noHBand="0" w:noVBand="0"/>
      </w:tblPr>
      <w:tblGrid>
        <w:gridCol w:w="4659"/>
        <w:gridCol w:w="4442"/>
      </w:tblGrid>
      <w:tr w:rsidR="005137CD">
        <w:trPr>
          <w:trHeight w:val="60"/>
        </w:trPr>
        <w:tc>
          <w:tcPr>
            <w:tcW w:w="4659" w:type="dxa"/>
          </w:tcPr>
          <w:p w:rsidR="005137CD" w:rsidRDefault="006543D0">
            <w:pPr>
              <w:tabs>
                <w:tab w:val="center" w:pos="6480"/>
              </w:tabs>
              <w:spacing w:before="120"/>
              <w:ind w:left="-109" w:hanging="18"/>
              <w:rPr>
                <w:sz w:val="22"/>
                <w:szCs w:val="22"/>
                <w:lang w:val="da-DK"/>
              </w:rPr>
            </w:pPr>
            <w:r>
              <w:br w:type="page" w:clear="all"/>
            </w:r>
            <w:r>
              <w:rPr>
                <w:b/>
                <w:bCs/>
                <w:i/>
                <w:iCs/>
                <w:lang w:val="da-DK"/>
              </w:rPr>
              <w:t>Nơi nhận:</w:t>
            </w:r>
          </w:p>
          <w:p w:rsidR="005137CD" w:rsidRDefault="006543D0">
            <w:pPr>
              <w:ind w:left="-98"/>
              <w:jc w:val="both"/>
              <w:rPr>
                <w:sz w:val="22"/>
              </w:rPr>
            </w:pPr>
            <w:r>
              <w:rPr>
                <w:sz w:val="22"/>
              </w:rPr>
              <w:t>- Như điều 4;</w:t>
            </w:r>
          </w:p>
          <w:p w:rsidR="005137CD" w:rsidRDefault="006543D0">
            <w:pPr>
              <w:ind w:left="-98"/>
              <w:jc w:val="both"/>
              <w:rPr>
                <w:sz w:val="22"/>
                <w:szCs w:val="22"/>
              </w:rPr>
            </w:pPr>
            <w:r>
              <w:rPr>
                <w:sz w:val="22"/>
                <w:lang w:val="vi-VN"/>
              </w:rPr>
              <w:t xml:space="preserve">- </w:t>
            </w:r>
            <w:r>
              <w:rPr>
                <w:sz w:val="22"/>
                <w:szCs w:val="22"/>
              </w:rPr>
              <w:t>Bộ Quốc phòng;</w:t>
            </w:r>
          </w:p>
          <w:p w:rsidR="005137CD" w:rsidRDefault="006543D0">
            <w:pPr>
              <w:ind w:left="-98"/>
              <w:jc w:val="both"/>
              <w:rPr>
                <w:sz w:val="22"/>
                <w:szCs w:val="22"/>
              </w:rPr>
            </w:pPr>
            <w:r>
              <w:rPr>
                <w:sz w:val="22"/>
                <w:szCs w:val="22"/>
              </w:rPr>
              <w:t>- BTL Quân khu 7;</w:t>
            </w:r>
          </w:p>
          <w:p w:rsidR="005137CD" w:rsidRDefault="006543D0">
            <w:pPr>
              <w:ind w:left="-98"/>
              <w:jc w:val="both"/>
              <w:rPr>
                <w:sz w:val="22"/>
                <w:szCs w:val="22"/>
              </w:rPr>
            </w:pPr>
            <w:r>
              <w:rPr>
                <w:sz w:val="22"/>
                <w:szCs w:val="22"/>
              </w:rPr>
              <w:t>- Vụ Pháp chế, Bộ Nội vụ;</w:t>
            </w:r>
          </w:p>
          <w:p w:rsidR="005137CD" w:rsidRDefault="006543D0">
            <w:pPr>
              <w:ind w:left="-98"/>
              <w:jc w:val="both"/>
              <w:rPr>
                <w:sz w:val="22"/>
                <w:szCs w:val="22"/>
              </w:rPr>
            </w:pPr>
            <w:r>
              <w:rPr>
                <w:sz w:val="22"/>
                <w:szCs w:val="22"/>
              </w:rPr>
              <w:t>- Cục Kiểm tra</w:t>
            </w:r>
            <w:r>
              <w:rPr>
                <w:sz w:val="22"/>
                <w:szCs w:val="22"/>
              </w:rPr>
              <w:t xml:space="preserve"> văn bản và Quản lý xử lý vi phạm hành chính, Bộ Tư pháp;</w:t>
            </w:r>
          </w:p>
          <w:p w:rsidR="005137CD" w:rsidRDefault="006543D0">
            <w:pPr>
              <w:ind w:left="-98"/>
              <w:jc w:val="both"/>
              <w:rPr>
                <w:sz w:val="22"/>
                <w:szCs w:val="22"/>
              </w:rPr>
            </w:pPr>
            <w:r>
              <w:rPr>
                <w:sz w:val="22"/>
                <w:szCs w:val="22"/>
              </w:rPr>
              <w:t>- Thường trực Tỉnh ủy;</w:t>
            </w:r>
          </w:p>
          <w:p w:rsidR="005137CD" w:rsidRDefault="006543D0">
            <w:pPr>
              <w:ind w:left="-98"/>
              <w:jc w:val="both"/>
              <w:rPr>
                <w:sz w:val="22"/>
                <w:szCs w:val="22"/>
              </w:rPr>
            </w:pPr>
            <w:r>
              <w:rPr>
                <w:sz w:val="22"/>
                <w:szCs w:val="22"/>
              </w:rPr>
              <w:t>- Thường trực HĐND tỉnh;</w:t>
            </w:r>
          </w:p>
          <w:p w:rsidR="005137CD" w:rsidRDefault="006543D0">
            <w:pPr>
              <w:ind w:left="-98"/>
              <w:jc w:val="both"/>
              <w:rPr>
                <w:sz w:val="22"/>
                <w:szCs w:val="22"/>
              </w:rPr>
            </w:pPr>
            <w:r>
              <w:rPr>
                <w:sz w:val="22"/>
                <w:szCs w:val="22"/>
              </w:rPr>
              <w:t>- CT, các PCT UBND tỉnh;</w:t>
            </w:r>
          </w:p>
          <w:p w:rsidR="005137CD" w:rsidRDefault="006543D0">
            <w:pPr>
              <w:ind w:left="-98"/>
              <w:jc w:val="both"/>
              <w:rPr>
                <w:sz w:val="22"/>
                <w:szCs w:val="22"/>
              </w:rPr>
            </w:pPr>
            <w:r>
              <w:rPr>
                <w:sz w:val="22"/>
                <w:szCs w:val="22"/>
              </w:rPr>
              <w:t>- TT. UBMTTQVN tỉnh;</w:t>
            </w:r>
          </w:p>
          <w:p w:rsidR="005137CD" w:rsidRDefault="006543D0">
            <w:pPr>
              <w:ind w:left="-98"/>
              <w:jc w:val="both"/>
              <w:rPr>
                <w:sz w:val="22"/>
                <w:szCs w:val="22"/>
              </w:rPr>
            </w:pPr>
            <w:r>
              <w:rPr>
                <w:sz w:val="22"/>
                <w:szCs w:val="22"/>
              </w:rPr>
              <w:t>- Đoàn Đại biểu Quốc hội tỉnh;</w:t>
            </w:r>
          </w:p>
          <w:p w:rsidR="005137CD" w:rsidRDefault="006543D0">
            <w:pPr>
              <w:ind w:left="-98"/>
              <w:jc w:val="both"/>
              <w:rPr>
                <w:sz w:val="22"/>
                <w:szCs w:val="22"/>
              </w:rPr>
            </w:pPr>
            <w:r>
              <w:rPr>
                <w:sz w:val="22"/>
                <w:szCs w:val="22"/>
              </w:rPr>
              <w:t>- Đại biểu HĐND tỉnh;</w:t>
            </w:r>
          </w:p>
          <w:p w:rsidR="005137CD" w:rsidRDefault="006543D0">
            <w:pPr>
              <w:ind w:left="-98"/>
              <w:jc w:val="both"/>
              <w:rPr>
                <w:sz w:val="22"/>
                <w:szCs w:val="22"/>
              </w:rPr>
            </w:pPr>
            <w:r>
              <w:rPr>
                <w:sz w:val="22"/>
                <w:szCs w:val="22"/>
              </w:rPr>
              <w:t>- Các sở, ban, ngành tỉnh;</w:t>
            </w:r>
          </w:p>
          <w:p w:rsidR="005137CD" w:rsidRDefault="006543D0">
            <w:pPr>
              <w:ind w:left="-98"/>
              <w:jc w:val="both"/>
              <w:rPr>
                <w:sz w:val="22"/>
              </w:rPr>
            </w:pPr>
            <w:r>
              <w:rPr>
                <w:sz w:val="22"/>
                <w:lang w:val="vi-VN"/>
              </w:rPr>
              <w:t xml:space="preserve">- </w:t>
            </w:r>
            <w:r>
              <w:rPr>
                <w:sz w:val="22"/>
              </w:rPr>
              <w:t>CVP, các PCVP UBND tỉn</w:t>
            </w:r>
            <w:r>
              <w:rPr>
                <w:sz w:val="22"/>
              </w:rPr>
              <w:t>h;</w:t>
            </w:r>
          </w:p>
          <w:p w:rsidR="005137CD" w:rsidRDefault="006543D0">
            <w:pPr>
              <w:ind w:left="-98"/>
              <w:jc w:val="both"/>
              <w:rPr>
                <w:sz w:val="22"/>
              </w:rPr>
            </w:pPr>
            <w:r>
              <w:rPr>
                <w:sz w:val="22"/>
              </w:rPr>
              <w:t>- Báo và Phát thanh, Truyền hình Tây Ninh;</w:t>
            </w:r>
          </w:p>
          <w:p w:rsidR="005137CD" w:rsidRDefault="006543D0">
            <w:pPr>
              <w:ind w:left="-98"/>
              <w:jc w:val="both"/>
              <w:rPr>
                <w:sz w:val="22"/>
              </w:rPr>
            </w:pPr>
            <w:r>
              <w:rPr>
                <w:sz w:val="22"/>
              </w:rPr>
              <w:t>- Trung tâm Công báo - Tin học tỉnh;</w:t>
            </w:r>
          </w:p>
          <w:p w:rsidR="005137CD" w:rsidRDefault="006543D0">
            <w:pPr>
              <w:ind w:left="-98"/>
              <w:jc w:val="both"/>
              <w:rPr>
                <w:sz w:val="22"/>
              </w:rPr>
            </w:pPr>
            <w:r>
              <w:rPr>
                <w:sz w:val="22"/>
              </w:rPr>
              <w:t xml:space="preserve">- </w:t>
            </w:r>
            <w:r>
              <w:rPr>
                <w:sz w:val="22"/>
                <w:lang w:val="vi-VN"/>
              </w:rPr>
              <w:t xml:space="preserve">Phòng </w:t>
            </w:r>
            <w:r>
              <w:rPr>
                <w:sz w:val="22"/>
              </w:rPr>
              <w:t>Tổng hợp</w:t>
            </w:r>
            <w:r>
              <w:rPr>
                <w:sz w:val="22"/>
                <w:lang w:val="vi-VN"/>
              </w:rPr>
              <w:t>;</w:t>
            </w:r>
          </w:p>
          <w:p w:rsidR="005137CD" w:rsidRDefault="006543D0">
            <w:pPr>
              <w:ind w:left="-98"/>
              <w:jc w:val="both"/>
              <w:rPr>
                <w:sz w:val="22"/>
                <w:szCs w:val="22"/>
              </w:rPr>
            </w:pPr>
            <w:r>
              <w:rPr>
                <w:sz w:val="22"/>
                <w:szCs w:val="22"/>
              </w:rPr>
              <w:t>- Ban Thi đua - Khen thưởng;</w:t>
            </w:r>
          </w:p>
          <w:p w:rsidR="005137CD" w:rsidRDefault="006543D0">
            <w:pPr>
              <w:ind w:left="-98"/>
              <w:jc w:val="both"/>
              <w:rPr>
                <w:sz w:val="22"/>
                <w:szCs w:val="22"/>
              </w:rPr>
            </w:pPr>
            <w:r>
              <w:rPr>
                <w:sz w:val="22"/>
                <w:szCs w:val="22"/>
              </w:rPr>
              <w:t>- UBND các xã, phường;</w:t>
            </w:r>
          </w:p>
          <w:p w:rsidR="005137CD" w:rsidRDefault="006543D0">
            <w:pPr>
              <w:ind w:left="-98"/>
              <w:jc w:val="both"/>
              <w:rPr>
                <w:sz w:val="22"/>
                <w:szCs w:val="22"/>
              </w:rPr>
            </w:pPr>
            <w:r>
              <w:rPr>
                <w:sz w:val="22"/>
                <w:szCs w:val="22"/>
              </w:rPr>
              <w:t>- Lưu: VT.</w:t>
            </w:r>
          </w:p>
          <w:p w:rsidR="005137CD" w:rsidRDefault="005137CD">
            <w:pPr>
              <w:widowControl w:val="0"/>
              <w:ind w:left="-109"/>
              <w:jc w:val="both"/>
              <w:rPr>
                <w:sz w:val="22"/>
                <w:szCs w:val="22"/>
                <w:lang w:val="da-DK"/>
              </w:rPr>
            </w:pPr>
          </w:p>
        </w:tc>
        <w:tc>
          <w:tcPr>
            <w:tcW w:w="4442" w:type="dxa"/>
          </w:tcPr>
          <w:p w:rsidR="005137CD" w:rsidRDefault="005137CD">
            <w:pPr>
              <w:tabs>
                <w:tab w:val="center" w:pos="6480"/>
              </w:tabs>
              <w:jc w:val="center"/>
              <w:rPr>
                <w:b/>
                <w:sz w:val="28"/>
                <w:szCs w:val="28"/>
              </w:rPr>
            </w:pPr>
          </w:p>
          <w:p w:rsidR="005137CD" w:rsidRDefault="006543D0">
            <w:pPr>
              <w:tabs>
                <w:tab w:val="center" w:pos="6480"/>
              </w:tabs>
              <w:jc w:val="center"/>
              <w:rPr>
                <w:b/>
                <w:sz w:val="28"/>
                <w:szCs w:val="28"/>
                <w:lang w:val="vi-VN"/>
              </w:rPr>
            </w:pPr>
            <w:r>
              <w:rPr>
                <w:b/>
                <w:sz w:val="28"/>
                <w:szCs w:val="28"/>
              </w:rPr>
              <w:t>TM.</w:t>
            </w:r>
            <w:r>
              <w:rPr>
                <w:b/>
                <w:sz w:val="28"/>
                <w:szCs w:val="28"/>
                <w:lang w:val="vi-VN"/>
              </w:rPr>
              <w:t xml:space="preserve"> </w:t>
            </w:r>
            <w:r>
              <w:rPr>
                <w:b/>
                <w:sz w:val="28"/>
                <w:szCs w:val="28"/>
              </w:rPr>
              <w:t>ỦY BAN NHÂN DÂN</w:t>
            </w:r>
          </w:p>
          <w:p w:rsidR="005137CD" w:rsidRDefault="006543D0">
            <w:pPr>
              <w:tabs>
                <w:tab w:val="center" w:pos="6480"/>
              </w:tabs>
              <w:jc w:val="center"/>
              <w:rPr>
                <w:b/>
                <w:sz w:val="28"/>
                <w:szCs w:val="28"/>
              </w:rPr>
            </w:pPr>
            <w:r>
              <w:rPr>
                <w:b/>
                <w:sz w:val="28"/>
                <w:szCs w:val="28"/>
              </w:rPr>
              <w:t>CHỦ TỊCH</w:t>
            </w:r>
          </w:p>
          <w:p w:rsidR="005137CD" w:rsidRDefault="005137CD">
            <w:pPr>
              <w:tabs>
                <w:tab w:val="center" w:pos="6480"/>
              </w:tabs>
              <w:spacing w:before="120"/>
              <w:ind w:firstLine="1"/>
              <w:jc w:val="center"/>
              <w:rPr>
                <w:b/>
                <w:sz w:val="28"/>
                <w:szCs w:val="28"/>
              </w:rPr>
            </w:pPr>
          </w:p>
          <w:p w:rsidR="005137CD" w:rsidRDefault="005137CD">
            <w:pPr>
              <w:tabs>
                <w:tab w:val="center" w:pos="6480"/>
              </w:tabs>
              <w:spacing w:before="120"/>
              <w:ind w:firstLine="1"/>
              <w:jc w:val="center"/>
              <w:rPr>
                <w:b/>
                <w:sz w:val="28"/>
                <w:szCs w:val="28"/>
              </w:rPr>
            </w:pPr>
          </w:p>
          <w:p w:rsidR="005137CD" w:rsidRDefault="005137CD">
            <w:pPr>
              <w:tabs>
                <w:tab w:val="center" w:pos="6480"/>
              </w:tabs>
              <w:spacing w:before="120"/>
              <w:ind w:firstLine="1"/>
              <w:jc w:val="center"/>
              <w:rPr>
                <w:b/>
                <w:sz w:val="28"/>
                <w:szCs w:val="28"/>
              </w:rPr>
            </w:pPr>
          </w:p>
          <w:p w:rsidR="005137CD" w:rsidRDefault="005137CD">
            <w:pPr>
              <w:tabs>
                <w:tab w:val="center" w:pos="6480"/>
              </w:tabs>
              <w:spacing w:before="120"/>
              <w:ind w:firstLine="1"/>
              <w:jc w:val="center"/>
              <w:rPr>
                <w:b/>
                <w:sz w:val="28"/>
                <w:szCs w:val="28"/>
              </w:rPr>
            </w:pPr>
          </w:p>
          <w:p w:rsidR="005137CD" w:rsidRDefault="005137CD">
            <w:pPr>
              <w:tabs>
                <w:tab w:val="center" w:pos="6480"/>
              </w:tabs>
              <w:spacing w:before="120"/>
              <w:ind w:firstLine="1"/>
              <w:jc w:val="center"/>
              <w:rPr>
                <w:b/>
                <w:sz w:val="28"/>
                <w:szCs w:val="28"/>
              </w:rPr>
            </w:pPr>
          </w:p>
        </w:tc>
      </w:tr>
    </w:tbl>
    <w:p w:rsidR="005137CD" w:rsidRDefault="005137CD">
      <w:pPr>
        <w:spacing w:after="120" w:line="288" w:lineRule="auto"/>
        <w:jc w:val="both"/>
        <w:rPr>
          <w:sz w:val="28"/>
        </w:rPr>
      </w:pPr>
    </w:p>
    <w:sectPr w:rsidR="005137CD">
      <w:headerReference w:type="default" r:id="rId8"/>
      <w:footerReference w:type="default" r:id="rId9"/>
      <w:headerReference w:type="first" r:id="rId10"/>
      <w:type w:val="continuous"/>
      <w:pgSz w:w="11906" w:h="16838"/>
      <w:pgMar w:top="1134" w:right="1134" w:bottom="1134" w:left="1701"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D0" w:rsidRDefault="006543D0">
      <w:r>
        <w:separator/>
      </w:r>
    </w:p>
  </w:endnote>
  <w:endnote w:type="continuationSeparator" w:id="0">
    <w:p w:rsidR="006543D0" w:rsidRDefault="0065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charset w:val="00"/>
    <w:family w:val="auto"/>
    <w:pitch w:val="default"/>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7CD" w:rsidRDefault="005137CD">
    <w:pPr>
      <w:pStyle w:val="Footer"/>
      <w:jc w:val="center"/>
    </w:pPr>
  </w:p>
  <w:p w:rsidR="005137CD" w:rsidRDefault="005137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D0" w:rsidRDefault="006543D0">
      <w:r>
        <w:separator/>
      </w:r>
    </w:p>
  </w:footnote>
  <w:footnote w:type="continuationSeparator" w:id="0">
    <w:p w:rsidR="006543D0" w:rsidRDefault="00654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898707"/>
      <w:docPartObj>
        <w:docPartGallery w:val="Page Numbers (Top of Page)"/>
        <w:docPartUnique/>
      </w:docPartObj>
    </w:sdtPr>
    <w:sdtEndPr/>
    <w:sdtContent>
      <w:p w:rsidR="005137CD" w:rsidRDefault="006543D0">
        <w:pPr>
          <w:pStyle w:val="Header"/>
          <w:jc w:val="center"/>
        </w:pPr>
        <w:r>
          <w:fldChar w:fldCharType="begin"/>
        </w:r>
        <w:r>
          <w:instrText xml:space="preserve"> PAGE   \* MERGEFORMAT </w:instrText>
        </w:r>
        <w:r>
          <w:fldChar w:fldCharType="separate"/>
        </w:r>
        <w:r w:rsidR="00C55B9F">
          <w:rPr>
            <w:noProof/>
          </w:rPr>
          <w:t>4</w:t>
        </w:r>
        <w:r>
          <w:fldChar w:fldCharType="end"/>
        </w:r>
      </w:p>
    </w:sdtContent>
  </w:sdt>
  <w:p w:rsidR="005137CD" w:rsidRDefault="005137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80841"/>
      <w:docPartObj>
        <w:docPartGallery w:val="Page Numbers (Top of Page)"/>
        <w:docPartUnique/>
      </w:docPartObj>
    </w:sdtPr>
    <w:sdtEndPr/>
    <w:sdtContent>
      <w:p w:rsidR="005137CD" w:rsidRDefault="006543D0">
        <w:pPr>
          <w:pStyle w:val="Header"/>
          <w:jc w:val="center"/>
        </w:pPr>
      </w:p>
    </w:sdtContent>
  </w:sdt>
  <w:p w:rsidR="005137CD" w:rsidRDefault="005137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274"/>
    <w:multiLevelType w:val="multilevel"/>
    <w:tmpl w:val="5D4A72AA"/>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Heading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1F2913A3"/>
    <w:multiLevelType w:val="multilevel"/>
    <w:tmpl w:val="22F0C2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75C54B13"/>
    <w:multiLevelType w:val="multilevel"/>
    <w:tmpl w:val="C130E9E8"/>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78164733"/>
    <w:multiLevelType w:val="multilevel"/>
    <w:tmpl w:val="564C293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CD"/>
    <w:rsid w:val="005137CD"/>
    <w:rsid w:val="006543D0"/>
    <w:rsid w:val="00C5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E910A-1C6F-47B0-B694-C53111E3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qFormat/>
    <w:pPr>
      <w:keepNext/>
      <w:numPr>
        <w:numId w:val="1"/>
      </w:numPr>
      <w:outlineLvl w:val="0"/>
    </w:pPr>
    <w:rPr>
      <w:b/>
      <w:bCs/>
      <w:sz w:val="26"/>
    </w:rPr>
  </w:style>
  <w:style w:type="paragraph" w:styleId="Heading2">
    <w:name w:val="heading 2"/>
    <w:basedOn w:val="Normal"/>
    <w:next w:val="Normal"/>
    <w:link w:val="Heading2Char"/>
    <w:uiPriority w:val="9"/>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Heading"/>
    <w:next w:val="BodyText"/>
    <w:link w:val="Heading5Char"/>
    <w:qFormat/>
    <w:pPr>
      <w:numPr>
        <w:ilvl w:val="4"/>
        <w:numId w:val="1"/>
      </w:numPr>
      <w:outlineLvl w:val="4"/>
    </w:pPr>
    <w:rPr>
      <w:rFonts w:ascii="Times New Roman" w:hAnsi="Times New Roman"/>
      <w:b/>
      <w:bCs/>
      <w:sz w:val="20"/>
      <w:szCs w:val="20"/>
    </w:rPr>
  </w:style>
  <w:style w:type="paragraph" w:styleId="Heading6">
    <w:name w:val="heading 6"/>
    <w:basedOn w:val="Heading"/>
    <w:next w:val="BodyText"/>
    <w:link w:val="Heading6Char"/>
    <w:qFormat/>
    <w:pPr>
      <w:tabs>
        <w:tab w:val="left" w:pos="0"/>
      </w:tabs>
      <w:outlineLvl w:val="5"/>
    </w:pPr>
    <w:rPr>
      <w:rFonts w:eastAsia="MS Mincho" w:cs="Times New Roman"/>
      <w:b/>
      <w:bCs/>
      <w:sz w:val="21"/>
      <w:szCs w:val="21"/>
    </w:rPr>
  </w:style>
  <w:style w:type="paragraph" w:styleId="Heading7">
    <w:name w:val="heading 7"/>
    <w:basedOn w:val="Heading"/>
    <w:next w:val="BodyText"/>
    <w:link w:val="Heading7Char"/>
    <w:qFormat/>
    <w:pPr>
      <w:tabs>
        <w:tab w:val="left" w:pos="0"/>
      </w:tabs>
      <w:outlineLvl w:val="6"/>
    </w:pPr>
    <w:rPr>
      <w:rFonts w:eastAsia="MS Mincho" w:cs="Times New Roman"/>
      <w:b/>
      <w:bCs/>
      <w:sz w:val="21"/>
      <w:szCs w:val="21"/>
    </w:rPr>
  </w:style>
  <w:style w:type="paragraph" w:styleId="Heading8">
    <w:name w:val="heading 8"/>
    <w:basedOn w:val="Heading"/>
    <w:next w:val="BodyText"/>
    <w:link w:val="Heading8Char"/>
    <w:qFormat/>
    <w:pPr>
      <w:tabs>
        <w:tab w:val="left" w:pos="0"/>
      </w:tabs>
      <w:outlineLvl w:val="7"/>
    </w:pPr>
    <w:rPr>
      <w:rFonts w:eastAsia="MS Mincho" w:cs="Times New Roman"/>
      <w:b/>
      <w:bCs/>
      <w:sz w:val="21"/>
      <w:szCs w:val="21"/>
    </w:rPr>
  </w:style>
  <w:style w:type="paragraph" w:styleId="Heading9">
    <w:name w:val="heading 9"/>
    <w:basedOn w:val="Heading"/>
    <w:next w:val="BodyText"/>
    <w:link w:val="Heading9Char"/>
    <w:qFormat/>
    <w:pPr>
      <w:tabs>
        <w:tab w:val="left" w:pos="0"/>
      </w:tabs>
      <w:outlineLvl w:val="8"/>
    </w:pPr>
    <w:rPr>
      <w:rFonts w:eastAsia="MS Mincho"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ableofFigures">
    <w:name w:val="table of figures"/>
    <w:basedOn w:val="Normal"/>
    <w:next w:val="Normal"/>
    <w:uiPriority w:val="99"/>
    <w:unhideWhenUsed/>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Absatz-Standardschriftart">
    <w:name w:val="Absatz-Standardschriftart"/>
  </w:style>
  <w:style w:type="character" w:customStyle="1" w:styleId="CharChar8">
    <w:name w:val="Char Char8"/>
    <w:rPr>
      <w:rFonts w:ascii="Times New Roman" w:eastAsia="Times New Roman" w:hAnsi="Times New Roman" w:cs="Times New Roman"/>
      <w:b/>
      <w:bCs/>
      <w:sz w:val="26"/>
      <w:szCs w:val="24"/>
    </w:rPr>
  </w:style>
  <w:style w:type="character" w:customStyle="1" w:styleId="CharChar7">
    <w:name w:val="Char Char7"/>
    <w:rPr>
      <w:rFonts w:ascii="Times New Roman" w:eastAsia="Times New Roman" w:hAnsi="Times New Roman" w:cs="Times New Roman"/>
      <w:sz w:val="26"/>
      <w:szCs w:val="24"/>
    </w:rPr>
  </w:style>
  <w:style w:type="character" w:styleId="Hyperlink">
    <w:name w:val="Hyperlink"/>
    <w:uiPriority w:val="99"/>
    <w:rPr>
      <w:color w:val="0000FF"/>
      <w:u w:val="single"/>
    </w:rPr>
  </w:style>
  <w:style w:type="character" w:customStyle="1" w:styleId="CharChar6">
    <w:name w:val="Char Char6"/>
    <w:rPr>
      <w:rFonts w:ascii="Times New Roman" w:eastAsia="Times New Roman" w:hAnsi="Times New Roman" w:cs="Times New Roman"/>
      <w:sz w:val="24"/>
      <w:szCs w:val="24"/>
    </w:rPr>
  </w:style>
  <w:style w:type="character" w:customStyle="1" w:styleId="CharChar5">
    <w:name w:val="Char Char5"/>
    <w:rPr>
      <w:rFonts w:ascii="Times New Roman" w:eastAsia="Times New Roman" w:hAnsi="Times New Roman" w:cs="Times New Roman"/>
      <w:sz w:val="24"/>
      <w:szCs w:val="24"/>
    </w:rPr>
  </w:style>
  <w:style w:type="character" w:customStyle="1" w:styleId="CharChar4">
    <w:name w:val="Char Char4"/>
    <w:rPr>
      <w:rFonts w:ascii="Times New Roman" w:eastAsia="Times New Roman" w:hAnsi="Times New Roman" w:cs="Times New Roman"/>
    </w:rPr>
  </w:style>
  <w:style w:type="character" w:customStyle="1" w:styleId="EndnoteCharacters">
    <w:name w:val="Endnote Characters"/>
    <w:rPr>
      <w:vertAlign w:val="superscript"/>
    </w:rPr>
  </w:style>
  <w:style w:type="character" w:customStyle="1" w:styleId="CharChar3">
    <w:name w:val="Char Char3"/>
    <w:rPr>
      <w:rFonts w:ascii="Times New Roman" w:eastAsia="Times New Roman" w:hAnsi="Times New Roman" w:cs="Times New Roman"/>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character" w:customStyle="1" w:styleId="CharChar2">
    <w:name w:val="Char Char2"/>
    <w:rPr>
      <w:rFonts w:ascii="Times New Roman" w:eastAsia="Times New Roman" w:hAnsi="Times New Roman" w:cs="Times New Roman"/>
    </w:rPr>
  </w:style>
  <w:style w:type="character" w:customStyle="1" w:styleId="CharChar1">
    <w:name w:val="Char Char1"/>
    <w:rPr>
      <w:rFonts w:ascii="Times New Roman" w:eastAsia="Times New Roman" w:hAnsi="Times New Roman" w:cs="Times New Roman"/>
      <w:b/>
      <w:bCs/>
    </w:rPr>
  </w:style>
  <w:style w:type="character" w:customStyle="1" w:styleId="CharChar">
    <w:name w:val="Char Char"/>
    <w:rPr>
      <w:rFonts w:ascii="Tahoma" w:eastAsia="Times New Roman" w:hAnsi="Tahoma" w:cs="Tahoma"/>
      <w:sz w:val="16"/>
      <w:szCs w:val="16"/>
    </w:rPr>
  </w:style>
  <w:style w:type="character" w:customStyle="1" w:styleId="apple-converted-space">
    <w:name w:val="apple-converted-space"/>
    <w:basedOn w:val="DefaultParagraphFont"/>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pacing w:before="120" w:after="120"/>
    </w:pPr>
    <w:rPr>
      <w:rFonts w:cs="Mangal"/>
      <w:i/>
      <w:iCs/>
    </w:rPr>
  </w:style>
  <w:style w:type="paragraph" w:customStyle="1" w:styleId="Index">
    <w:name w:val="Index"/>
    <w:basedOn w:val="Normal"/>
    <w:rPr>
      <w:rFonts w:cs="Mangal"/>
    </w:rPr>
  </w:style>
  <w:style w:type="paragraph" w:styleId="BodyTextIndent">
    <w:name w:val="Body Text Indent"/>
    <w:basedOn w:val="Normal"/>
    <w:pPr>
      <w:ind w:firstLine="851"/>
      <w:jc w:val="both"/>
    </w:pPr>
    <w:rPr>
      <w:sz w:val="26"/>
    </w:rPr>
  </w:style>
  <w:style w:type="paragraph" w:styleId="Header">
    <w:name w:val="header"/>
    <w:basedOn w:val="Normal"/>
    <w:link w:val="HeaderChar"/>
    <w:uiPriority w:val="99"/>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styleId="EndnoteText">
    <w:name w:val="endnote text"/>
    <w:basedOn w:val="Normal"/>
    <w:link w:val="EndnoteTextChar"/>
    <w:rPr>
      <w:sz w:val="20"/>
      <w:szCs w:val="20"/>
    </w:rPr>
  </w:style>
  <w:style w:type="paragraph" w:styleId="FootnoteText">
    <w:name w:val="footnote text"/>
    <w:basedOn w:val="Normal"/>
    <w:link w:val="FootnoteTextChar"/>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western">
    <w:name w:val="western"/>
    <w:basedOn w:val="Normal"/>
    <w:pPr>
      <w:spacing w:before="280" w:after="119"/>
    </w:pPr>
    <w:rPr>
      <w:color w:val="000000"/>
    </w:rPr>
  </w:style>
  <w:style w:type="paragraph" w:customStyle="1" w:styleId="Framecontents">
    <w:name w:val="Frame contents"/>
    <w:basedOn w:val="BodyText"/>
  </w:style>
  <w:style w:type="paragraph" w:customStyle="1" w:styleId="TableContents">
    <w:name w:val="Table Contents"/>
    <w:basedOn w:val="Normal"/>
  </w:style>
  <w:style w:type="paragraph" w:customStyle="1" w:styleId="TableHeading">
    <w:name w:val="Table Heading"/>
    <w:basedOn w:val="TableContents"/>
    <w:pPr>
      <w:jc w:val="center"/>
    </w:pPr>
    <w:rPr>
      <w:b/>
      <w:bCs/>
    </w:rPr>
  </w:style>
  <w:style w:type="paragraph" w:styleId="NormalWeb">
    <w:name w:val="Normal (Web)"/>
    <w:basedOn w:val="Normal"/>
    <w:link w:val="NormalWebChar"/>
    <w:uiPriority w:val="99"/>
    <w:pPr>
      <w:spacing w:before="280" w:after="280"/>
    </w:pPr>
  </w:style>
  <w:style w:type="character" w:customStyle="1" w:styleId="Heading1Char">
    <w:name w:val="Heading 1 Char"/>
    <w:link w:val="Heading1"/>
    <w:rPr>
      <w:b/>
      <w:bCs/>
      <w:sz w:val="26"/>
      <w:szCs w:val="24"/>
      <w:lang w:eastAsia="zh-CN"/>
    </w:rPr>
  </w:style>
  <w:style w:type="character" w:customStyle="1" w:styleId="Heading3Char">
    <w:name w:val="Heading 3 Char"/>
    <w:link w:val="Heading3"/>
    <w:uiPriority w:val="9"/>
    <w:semiHidden/>
    <w:rPr>
      <w:rFonts w:ascii="Cambria" w:eastAsia="Times New Roman" w:hAnsi="Cambria" w:cs="Times New Roman"/>
      <w:b/>
      <w:bCs/>
      <w:sz w:val="26"/>
      <w:szCs w:val="26"/>
      <w:lang w:eastAsia="zh-CN"/>
    </w:rPr>
  </w:style>
  <w:style w:type="paragraph" w:customStyle="1" w:styleId="Section1">
    <w:name w:val="Section 1"/>
    <w:basedOn w:val="Normal"/>
    <w:pPr>
      <w:tabs>
        <w:tab w:val="center" w:pos="2244"/>
        <w:tab w:val="center" w:pos="6804"/>
      </w:tabs>
    </w:pPr>
  </w:style>
  <w:style w:type="character" w:customStyle="1" w:styleId="FooterChar">
    <w:name w:val="Footer Char"/>
    <w:link w:val="Footer"/>
    <w:uiPriority w:val="99"/>
    <w:rPr>
      <w:sz w:val="24"/>
      <w:szCs w:val="24"/>
      <w:lang w:eastAsia="zh-CN"/>
    </w:rPr>
  </w:style>
  <w:style w:type="character" w:customStyle="1" w:styleId="BodyTextChar">
    <w:name w:val="Body Text Char"/>
    <w:link w:val="BodyText"/>
    <w:rPr>
      <w:sz w:val="24"/>
      <w:szCs w:val="24"/>
      <w:lang w:eastAsia="zh-CN"/>
    </w:rPr>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Bodytext2">
    <w:name w:val="Body text (2)_"/>
    <w:link w:val="Bodytext20"/>
    <w:rPr>
      <w:sz w:val="42"/>
      <w:szCs w:val="42"/>
      <w:shd w:val="clear" w:color="auto" w:fill="FFFFFF"/>
    </w:rPr>
  </w:style>
  <w:style w:type="paragraph" w:customStyle="1" w:styleId="Bodytext20">
    <w:name w:val="Body text (2)"/>
    <w:basedOn w:val="Normal"/>
    <w:link w:val="Bodytext2"/>
    <w:pPr>
      <w:widowControl w:val="0"/>
      <w:shd w:val="clear" w:color="auto" w:fill="FFFFFF"/>
      <w:spacing w:line="503" w:lineRule="exact"/>
      <w:ind w:firstLine="1320"/>
      <w:jc w:val="both"/>
    </w:pPr>
    <w:rPr>
      <w:sz w:val="42"/>
      <w:szCs w:val="42"/>
    </w:rPr>
  </w:style>
  <w:style w:type="character" w:customStyle="1" w:styleId="Heading6Char">
    <w:name w:val="Heading 6 Char"/>
    <w:link w:val="Heading6"/>
    <w:rPr>
      <w:rFonts w:ascii="Arial" w:eastAsia="MS Mincho" w:hAnsi="Arial" w:cs="Tahoma"/>
      <w:b/>
      <w:bCs/>
      <w:sz w:val="21"/>
      <w:szCs w:val="21"/>
      <w:lang w:eastAsia="zh-CN"/>
    </w:rPr>
  </w:style>
  <w:style w:type="character" w:customStyle="1" w:styleId="Heading7Char">
    <w:name w:val="Heading 7 Char"/>
    <w:link w:val="Heading7"/>
    <w:rPr>
      <w:rFonts w:ascii="Arial" w:eastAsia="MS Mincho" w:hAnsi="Arial" w:cs="Tahoma"/>
      <w:b/>
      <w:bCs/>
      <w:sz w:val="21"/>
      <w:szCs w:val="21"/>
      <w:lang w:eastAsia="zh-CN"/>
    </w:rPr>
  </w:style>
  <w:style w:type="character" w:customStyle="1" w:styleId="Heading8Char">
    <w:name w:val="Heading 8 Char"/>
    <w:link w:val="Heading8"/>
    <w:rPr>
      <w:rFonts w:ascii="Arial" w:eastAsia="MS Mincho" w:hAnsi="Arial" w:cs="Tahoma"/>
      <w:b/>
      <w:bCs/>
      <w:sz w:val="21"/>
      <w:szCs w:val="21"/>
      <w:lang w:eastAsia="zh-CN"/>
    </w:rPr>
  </w:style>
  <w:style w:type="character" w:customStyle="1" w:styleId="Heading9Char">
    <w:name w:val="Heading 9 Char"/>
    <w:link w:val="Heading9"/>
    <w:rPr>
      <w:rFonts w:ascii="Arial" w:eastAsia="MS Mincho" w:hAnsi="Arial" w:cs="Tahoma"/>
      <w:b/>
      <w:bCs/>
      <w:sz w:val="21"/>
      <w:szCs w:val="21"/>
      <w:lang w:eastAsia="zh-CN"/>
    </w:rPr>
  </w:style>
  <w:style w:type="paragraph" w:customStyle="1" w:styleId="CharCharCharChar">
    <w:name w:val="Char Char Char Char"/>
    <w:next w:val="Normal"/>
    <w:semiHidden/>
    <w:pPr>
      <w:spacing w:after="160" w:line="240" w:lineRule="exact"/>
      <w:jc w:val="both"/>
    </w:pPr>
    <w:rPr>
      <w:sz w:val="28"/>
    </w:rPr>
  </w:style>
  <w:style w:type="character" w:styleId="LineNumber">
    <w:name w:val="line number"/>
    <w:uiPriority w:val="99"/>
    <w:semiHidden/>
    <w:unhideWhenUsed/>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zh-CN"/>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customStyle="1" w:styleId="Heading10">
    <w:name w:val="Heading #1_"/>
    <w:basedOn w:val="DefaultParagraphFont"/>
    <w:link w:val="Heading11"/>
    <w:rPr>
      <w:b/>
      <w:bCs/>
      <w:color w:val="101316"/>
      <w:sz w:val="26"/>
      <w:szCs w:val="26"/>
    </w:rPr>
  </w:style>
  <w:style w:type="paragraph" w:customStyle="1" w:styleId="Heading11">
    <w:name w:val="Heading #1"/>
    <w:basedOn w:val="Normal"/>
    <w:link w:val="Heading10"/>
    <w:pPr>
      <w:widowControl w:val="0"/>
      <w:pBdr>
        <w:top w:val="none" w:sz="0" w:space="0" w:color="000000"/>
        <w:left w:val="none" w:sz="0" w:space="0" w:color="000000"/>
        <w:bottom w:val="none" w:sz="0" w:space="0" w:color="000000"/>
        <w:right w:val="none" w:sz="0" w:space="0" w:color="000000"/>
        <w:between w:val="none" w:sz="0" w:space="0" w:color="000000"/>
      </w:pBdr>
      <w:spacing w:after="100" w:line="276" w:lineRule="auto"/>
      <w:ind w:left="150" w:firstLine="720"/>
      <w:outlineLvl w:val="0"/>
    </w:pPr>
    <w:rPr>
      <w:b/>
      <w:bCs/>
      <w:color w:val="101316"/>
      <w:sz w:val="26"/>
      <w:szCs w:val="26"/>
      <w:lang w:eastAsia="en-US"/>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eastAsia="zh-CN"/>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sz w:val="24"/>
      <w:szCs w:val="24"/>
      <w:lang w:eastAsia="zh-CN"/>
    </w:rPr>
  </w:style>
  <w:style w:type="character" w:customStyle="1" w:styleId="fontstyle21">
    <w:name w:val="fontstyle21"/>
    <w:uiPriority w:val="99"/>
    <w:rPr>
      <w:rFonts w:ascii="Times New Roman" w:hAnsi="Times New Roman" w:cs="Times New Roman"/>
      <w:color w:val="000000"/>
      <w:sz w:val="28"/>
      <w:szCs w:val="28"/>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NormalWebChar">
    <w:name w:val="Normal (Web) Char"/>
    <w:link w:val="NormalWe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3F4-C3CE-45EF-843A-3A0C08EE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Vinh Long</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cp:lastModifiedBy>
  <cp:revision>2</cp:revision>
  <dcterms:created xsi:type="dcterms:W3CDTF">2026-02-26T03:18:00Z</dcterms:created>
  <dcterms:modified xsi:type="dcterms:W3CDTF">2026-02-26T03:18:00Z</dcterms:modified>
</cp:coreProperties>
</file>